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122F8D" w14:textId="27FA10D9" w:rsidR="004173BB" w:rsidRPr="004D1022" w:rsidRDefault="004173BB" w:rsidP="00E023D0">
      <w:pPr>
        <w:spacing w:line="360" w:lineRule="auto"/>
        <w:ind w:right="1751"/>
        <w:jc w:val="both"/>
        <w:rPr>
          <w:rFonts w:ascii="Arial" w:hAnsi="Arial" w:cs="Arial"/>
          <w:b/>
          <w:sz w:val="24"/>
        </w:rPr>
      </w:pPr>
      <w:r w:rsidRPr="004D1022">
        <w:rPr>
          <w:rFonts w:ascii="Arial" w:hAnsi="Arial" w:cs="Arial"/>
          <w:b/>
          <w:sz w:val="24"/>
        </w:rPr>
        <w:t>Presse-Information</w:t>
      </w:r>
    </w:p>
    <w:p w14:paraId="6FED9B18" w14:textId="60581DB9" w:rsidR="00283BE0" w:rsidRPr="007F4181" w:rsidRDefault="00283BE0" w:rsidP="004173BB">
      <w:pPr>
        <w:spacing w:line="360" w:lineRule="auto"/>
        <w:ind w:right="1699"/>
        <w:jc w:val="both"/>
        <w:rPr>
          <w:rFonts w:ascii="Arial" w:hAnsi="Arial" w:cs="Arial"/>
          <w:b/>
        </w:rPr>
      </w:pPr>
    </w:p>
    <w:p w14:paraId="2F791A53" w14:textId="77777777" w:rsidR="007431D0" w:rsidRPr="007F4181" w:rsidRDefault="007431D0" w:rsidP="004173BB">
      <w:pPr>
        <w:spacing w:line="360" w:lineRule="auto"/>
        <w:ind w:right="1699"/>
        <w:jc w:val="both"/>
        <w:rPr>
          <w:rFonts w:ascii="Arial" w:hAnsi="Arial" w:cs="Arial"/>
          <w:b/>
        </w:rPr>
      </w:pPr>
    </w:p>
    <w:p w14:paraId="2410060B" w14:textId="68003CD3" w:rsidR="004173BB" w:rsidRPr="007A1EEB" w:rsidRDefault="004173BB" w:rsidP="00D01263">
      <w:pPr>
        <w:spacing w:line="360" w:lineRule="auto"/>
        <w:ind w:right="1751"/>
        <w:jc w:val="both"/>
        <w:rPr>
          <w:rFonts w:ascii="Arial" w:hAnsi="Arial" w:cs="Arial"/>
          <w:sz w:val="20"/>
        </w:rPr>
      </w:pPr>
      <w:bookmarkStart w:id="0" w:name="_GoBack"/>
      <w:r w:rsidRPr="007A1EEB">
        <w:rPr>
          <w:rFonts w:ascii="Arial" w:hAnsi="Arial" w:cs="Arial"/>
          <w:b/>
          <w:sz w:val="20"/>
        </w:rPr>
        <w:t>Datum:</w:t>
      </w:r>
      <w:r w:rsidRPr="007A1EEB">
        <w:rPr>
          <w:rFonts w:ascii="Arial" w:hAnsi="Arial" w:cs="Arial"/>
          <w:sz w:val="20"/>
        </w:rPr>
        <w:t xml:space="preserve"> </w:t>
      </w:r>
      <w:r w:rsidR="00B67BF7" w:rsidRPr="007A1EEB">
        <w:rPr>
          <w:rFonts w:ascii="Arial" w:hAnsi="Arial" w:cs="Arial"/>
          <w:sz w:val="20"/>
        </w:rPr>
        <w:t xml:space="preserve">12./13. November </w:t>
      </w:r>
      <w:r w:rsidRPr="007A1EEB">
        <w:rPr>
          <w:rFonts w:ascii="Arial" w:hAnsi="Arial" w:cs="Arial"/>
          <w:sz w:val="20"/>
        </w:rPr>
        <w:t>20</w:t>
      </w:r>
      <w:r w:rsidR="00025A58" w:rsidRPr="007A1EEB">
        <w:rPr>
          <w:rFonts w:ascii="Arial" w:hAnsi="Arial" w:cs="Arial"/>
          <w:sz w:val="20"/>
        </w:rPr>
        <w:t>1</w:t>
      </w:r>
      <w:r w:rsidR="00BF73D3" w:rsidRPr="007A1EEB">
        <w:rPr>
          <w:rFonts w:ascii="Arial" w:hAnsi="Arial" w:cs="Arial"/>
          <w:sz w:val="20"/>
        </w:rPr>
        <w:t>9</w:t>
      </w:r>
    </w:p>
    <w:bookmarkEnd w:id="0"/>
    <w:p w14:paraId="15C49017" w14:textId="77777777" w:rsidR="004173BB" w:rsidRPr="007F4181" w:rsidRDefault="004173BB" w:rsidP="00D01263">
      <w:pPr>
        <w:spacing w:line="360" w:lineRule="auto"/>
        <w:ind w:right="1751"/>
        <w:jc w:val="both"/>
        <w:rPr>
          <w:rFonts w:ascii="Arial" w:hAnsi="Arial" w:cs="Arial"/>
        </w:rPr>
      </w:pPr>
    </w:p>
    <w:p w14:paraId="2A507DDC" w14:textId="681B803E" w:rsidR="00E11E55" w:rsidRPr="004D1022" w:rsidRDefault="001467CE" w:rsidP="00E11E55">
      <w:pPr>
        <w:spacing w:line="360" w:lineRule="auto"/>
        <w:ind w:right="1982"/>
        <w:jc w:val="both"/>
        <w:rPr>
          <w:rFonts w:ascii="Arial" w:hAnsi="Arial" w:cs="Arial"/>
          <w:sz w:val="20"/>
        </w:rPr>
      </w:pPr>
      <w:r w:rsidRPr="004D1022">
        <w:rPr>
          <w:rFonts w:ascii="Arial" w:hAnsi="Arial" w:cs="Arial"/>
          <w:sz w:val="20"/>
        </w:rPr>
        <w:t xml:space="preserve">Roto-Gruppe sieht Wirtschaft im Würgegriff der Politik / Bestätigte Befürchtungen / Politische Krisenherde beeinflussen Märkte und Geschäft / Strafaktionen wirken global / </w:t>
      </w:r>
      <w:r w:rsidR="000F4EC4" w:rsidRPr="004D1022">
        <w:rPr>
          <w:rFonts w:ascii="Arial" w:hAnsi="Arial" w:cs="Arial"/>
          <w:sz w:val="20"/>
        </w:rPr>
        <w:t>„Am Ende leiden alle“ / 2020 droht weltweiter Konjunktureinbruch / Konfliktlösungen greifen erst 2021 / Bauzulieferer schlägt sich gut / Geringes Umsatzplus 2019 erwartet / Auch 2020 positive Firmenkonjunktur im Visier / Neue Gruppenstruktur wie geplant etabliert</w:t>
      </w:r>
    </w:p>
    <w:p w14:paraId="1AE711B3" w14:textId="77777777" w:rsidR="00C2497A" w:rsidRPr="007F4181" w:rsidRDefault="00C2497A" w:rsidP="00640901">
      <w:pPr>
        <w:spacing w:line="360" w:lineRule="auto"/>
        <w:ind w:right="1751"/>
        <w:jc w:val="both"/>
        <w:rPr>
          <w:rFonts w:ascii="Arial" w:hAnsi="Arial" w:cs="Arial"/>
          <w:bCs/>
          <w:color w:val="000000"/>
        </w:rPr>
      </w:pPr>
    </w:p>
    <w:p w14:paraId="47B1024B" w14:textId="1679321C" w:rsidR="00E11E55" w:rsidRPr="004D1022" w:rsidRDefault="000F4EC4" w:rsidP="00E11E55">
      <w:pPr>
        <w:spacing w:line="360" w:lineRule="auto"/>
        <w:ind w:right="1985"/>
        <w:jc w:val="both"/>
        <w:rPr>
          <w:rFonts w:ascii="Arial" w:hAnsi="Arial" w:cs="Arial"/>
          <w:b/>
          <w:bCs/>
          <w:sz w:val="24"/>
        </w:rPr>
      </w:pPr>
      <w:r w:rsidRPr="004D1022">
        <w:rPr>
          <w:rFonts w:ascii="Arial" w:hAnsi="Arial" w:cs="Arial"/>
          <w:b/>
          <w:bCs/>
          <w:sz w:val="24"/>
        </w:rPr>
        <w:t>Roto rüttelt auf und vertraut eigenen Stärken</w:t>
      </w:r>
    </w:p>
    <w:p w14:paraId="19484D46" w14:textId="77777777" w:rsidR="009B28FF" w:rsidRPr="007F4181" w:rsidRDefault="009B28FF" w:rsidP="00D01263">
      <w:pPr>
        <w:spacing w:line="360" w:lineRule="auto"/>
        <w:ind w:right="1751"/>
        <w:jc w:val="both"/>
        <w:rPr>
          <w:rFonts w:ascii="Arial" w:hAnsi="Arial" w:cs="Arial"/>
          <w:b/>
          <w:color w:val="000000"/>
        </w:rPr>
      </w:pPr>
    </w:p>
    <w:p w14:paraId="65D7FDDD" w14:textId="7B25D0CC" w:rsidR="00894511" w:rsidRPr="007F4181" w:rsidRDefault="00B67BF7" w:rsidP="00647F4B">
      <w:pPr>
        <w:adjustRightInd w:val="0"/>
        <w:spacing w:line="360" w:lineRule="auto"/>
        <w:ind w:right="1752"/>
        <w:contextualSpacing/>
        <w:jc w:val="both"/>
        <w:rPr>
          <w:rFonts w:ascii="Arial" w:hAnsi="Arial" w:cs="Arial"/>
        </w:rPr>
      </w:pPr>
      <w:r w:rsidRPr="007F4181">
        <w:rPr>
          <w:rFonts w:ascii="Arial" w:hAnsi="Arial" w:cs="Arial"/>
          <w:b/>
          <w:i/>
        </w:rPr>
        <w:t>Bad Mergentheim/</w:t>
      </w:r>
      <w:r w:rsidR="00640901" w:rsidRPr="007F4181">
        <w:rPr>
          <w:rFonts w:ascii="Arial" w:hAnsi="Arial" w:cs="Arial"/>
          <w:b/>
          <w:i/>
        </w:rPr>
        <w:t>Leinfelden-Echterdingen – (rp)</w:t>
      </w:r>
      <w:r w:rsidR="00640901" w:rsidRPr="007F4181">
        <w:rPr>
          <w:rFonts w:ascii="Arial" w:hAnsi="Arial" w:cs="Arial"/>
        </w:rPr>
        <w:t xml:space="preserve"> </w:t>
      </w:r>
      <w:r w:rsidR="001B541C" w:rsidRPr="007F4181">
        <w:rPr>
          <w:rFonts w:ascii="Arial" w:hAnsi="Arial" w:cs="Arial"/>
        </w:rPr>
        <w:t xml:space="preserve">„Genau so kam es – nur noch schlimmer als befürchtet.“ Mit dieser Kernaussage </w:t>
      </w:r>
      <w:r w:rsidR="00F85514" w:rsidRPr="007F4181">
        <w:rPr>
          <w:rFonts w:ascii="Arial" w:hAnsi="Arial" w:cs="Arial"/>
        </w:rPr>
        <w:t>knüpfte</w:t>
      </w:r>
      <w:r w:rsidR="001B541C" w:rsidRPr="007F4181">
        <w:rPr>
          <w:rFonts w:ascii="Arial" w:hAnsi="Arial" w:cs="Arial"/>
        </w:rPr>
        <w:t xml:space="preserve"> Dr. Eckhard Keill während des 14. internationalen Roto</w:t>
      </w:r>
      <w:r w:rsidR="00F85514" w:rsidRPr="007F4181">
        <w:rPr>
          <w:rFonts w:ascii="Arial" w:hAnsi="Arial" w:cs="Arial"/>
        </w:rPr>
        <w:t>-</w:t>
      </w:r>
      <w:r w:rsidR="001B541C" w:rsidRPr="007F4181">
        <w:rPr>
          <w:rFonts w:ascii="Arial" w:hAnsi="Arial" w:cs="Arial"/>
        </w:rPr>
        <w:t xml:space="preserve">Fachpressetages </w:t>
      </w:r>
      <w:r w:rsidR="00F85514" w:rsidRPr="007F4181">
        <w:rPr>
          <w:rFonts w:ascii="Arial" w:hAnsi="Arial" w:cs="Arial"/>
        </w:rPr>
        <w:t xml:space="preserve">an </w:t>
      </w:r>
      <w:r w:rsidR="001B541C" w:rsidRPr="007F4181">
        <w:rPr>
          <w:rFonts w:ascii="Arial" w:hAnsi="Arial" w:cs="Arial"/>
        </w:rPr>
        <w:t>sein</w:t>
      </w:r>
      <w:r w:rsidR="00F85514" w:rsidRPr="007F4181">
        <w:rPr>
          <w:rFonts w:ascii="Arial" w:hAnsi="Arial" w:cs="Arial"/>
        </w:rPr>
        <w:t>e</w:t>
      </w:r>
      <w:r w:rsidR="001B541C" w:rsidRPr="007F4181">
        <w:rPr>
          <w:rFonts w:ascii="Arial" w:hAnsi="Arial" w:cs="Arial"/>
        </w:rPr>
        <w:t xml:space="preserve"> vor einem Jahr geäußerte Vermutung a</w:t>
      </w:r>
      <w:r w:rsidR="00F85514" w:rsidRPr="007F4181">
        <w:rPr>
          <w:rFonts w:ascii="Arial" w:hAnsi="Arial" w:cs="Arial"/>
        </w:rPr>
        <w:t>n</w:t>
      </w:r>
      <w:r w:rsidR="001B541C" w:rsidRPr="007F4181">
        <w:rPr>
          <w:rFonts w:ascii="Arial" w:hAnsi="Arial" w:cs="Arial"/>
        </w:rPr>
        <w:t>, dass 2019 wichtige Märkte „fremdbestimmt“ werden. Die weltweite Flut politisch motivierter Krisenherde zwingt die Wirtschaft in wachsendem Maße in die Knie, konstatierte der Alleinvorstand der Roto Frank Holding AG</w:t>
      </w:r>
      <w:r w:rsidR="00615950" w:rsidRPr="007F4181">
        <w:rPr>
          <w:rFonts w:ascii="Arial" w:hAnsi="Arial" w:cs="Arial"/>
        </w:rPr>
        <w:t xml:space="preserve"> Mitte November in Bad Mergentheim (Deutschland). Unter der „schweren Hypothek“ litten danach </w:t>
      </w:r>
      <w:r w:rsidR="00F85514" w:rsidRPr="007F4181">
        <w:rPr>
          <w:rFonts w:ascii="Arial" w:hAnsi="Arial" w:cs="Arial"/>
        </w:rPr>
        <w:t>u. a.</w:t>
      </w:r>
      <w:r w:rsidR="00615950" w:rsidRPr="007F4181">
        <w:rPr>
          <w:rFonts w:ascii="Arial" w:hAnsi="Arial" w:cs="Arial"/>
        </w:rPr>
        <w:t xml:space="preserve"> relevante Fenster- und Türenmärkte. Trotzdem habe sich der Bauzulieferer im ersten Jahr seiner neuen Struktur mit dem zu erwartenden leichten Umsatzplus insgesamt </w:t>
      </w:r>
      <w:r w:rsidR="00F2197A" w:rsidRPr="007F4181">
        <w:rPr>
          <w:rFonts w:ascii="Arial" w:hAnsi="Arial" w:cs="Arial"/>
        </w:rPr>
        <w:t>„gut geschlagen“. Das soll auch 2020 so bleiben, obwohl die Wahrscheinlichkeit eine</w:t>
      </w:r>
      <w:r w:rsidR="00F85514" w:rsidRPr="007F4181">
        <w:rPr>
          <w:rFonts w:ascii="Arial" w:hAnsi="Arial" w:cs="Arial"/>
        </w:rPr>
        <w:t>s</w:t>
      </w:r>
      <w:r w:rsidR="00F2197A" w:rsidRPr="007F4181">
        <w:rPr>
          <w:rFonts w:ascii="Arial" w:hAnsi="Arial" w:cs="Arial"/>
        </w:rPr>
        <w:t xml:space="preserve"> globalen Konjunktureinbruch</w:t>
      </w:r>
      <w:r w:rsidR="00F85514" w:rsidRPr="007F4181">
        <w:rPr>
          <w:rFonts w:ascii="Arial" w:hAnsi="Arial" w:cs="Arial"/>
        </w:rPr>
        <w:t>s</w:t>
      </w:r>
      <w:r w:rsidR="00F2197A" w:rsidRPr="007F4181">
        <w:rPr>
          <w:rFonts w:ascii="Arial" w:hAnsi="Arial" w:cs="Arial"/>
        </w:rPr>
        <w:t xml:space="preserve"> hoch sei. Erst 2021 könne sich die Situation international wieder bessern.</w:t>
      </w:r>
    </w:p>
    <w:p w14:paraId="349552E1" w14:textId="5F99537C" w:rsidR="00F2197A" w:rsidRPr="007F4181" w:rsidRDefault="00F2197A" w:rsidP="00647F4B">
      <w:pPr>
        <w:adjustRightInd w:val="0"/>
        <w:spacing w:line="360" w:lineRule="auto"/>
        <w:ind w:right="1752"/>
        <w:contextualSpacing/>
        <w:jc w:val="both"/>
        <w:rPr>
          <w:rFonts w:ascii="Arial" w:hAnsi="Arial" w:cs="Arial"/>
        </w:rPr>
      </w:pPr>
    </w:p>
    <w:p w14:paraId="1824B369" w14:textId="5AB51AE0" w:rsidR="00F2197A" w:rsidRPr="007F4181" w:rsidRDefault="00F85514" w:rsidP="00647F4B">
      <w:pPr>
        <w:adjustRightInd w:val="0"/>
        <w:spacing w:line="360" w:lineRule="auto"/>
        <w:ind w:right="1752"/>
        <w:contextualSpacing/>
        <w:jc w:val="both"/>
        <w:rPr>
          <w:rFonts w:ascii="Arial" w:hAnsi="Arial" w:cs="Arial"/>
          <w:b/>
          <w:bCs/>
        </w:rPr>
      </w:pPr>
      <w:r w:rsidRPr="007F4181">
        <w:rPr>
          <w:rFonts w:ascii="Arial" w:hAnsi="Arial" w:cs="Arial"/>
          <w:b/>
          <w:bCs/>
        </w:rPr>
        <w:t>Unterschätzte Sanktionsspirale</w:t>
      </w:r>
    </w:p>
    <w:p w14:paraId="2589F0ED" w14:textId="37EC7968" w:rsidR="00F2197A" w:rsidRPr="007F4181" w:rsidRDefault="00F2197A" w:rsidP="00647F4B">
      <w:pPr>
        <w:adjustRightInd w:val="0"/>
        <w:spacing w:line="360" w:lineRule="auto"/>
        <w:ind w:right="1752"/>
        <w:contextualSpacing/>
        <w:jc w:val="both"/>
        <w:rPr>
          <w:rFonts w:ascii="Arial" w:hAnsi="Arial" w:cs="Arial"/>
        </w:rPr>
      </w:pPr>
    </w:p>
    <w:p w14:paraId="05FA654C" w14:textId="56337D74" w:rsidR="00F2197A" w:rsidRPr="007F4181" w:rsidRDefault="00F2197A" w:rsidP="00647F4B">
      <w:pPr>
        <w:adjustRightInd w:val="0"/>
        <w:spacing w:line="360" w:lineRule="auto"/>
        <w:ind w:right="1752"/>
        <w:contextualSpacing/>
        <w:jc w:val="both"/>
        <w:rPr>
          <w:rFonts w:ascii="Arial" w:hAnsi="Arial" w:cs="Arial"/>
        </w:rPr>
      </w:pPr>
      <w:r w:rsidRPr="007F4181">
        <w:rPr>
          <w:rFonts w:ascii="Arial" w:hAnsi="Arial" w:cs="Arial"/>
        </w:rPr>
        <w:t xml:space="preserve">In seinem Statement wies Keill eindringlich </w:t>
      </w:r>
      <w:r w:rsidR="006D0402" w:rsidRPr="007F4181">
        <w:rPr>
          <w:rFonts w:ascii="Arial" w:hAnsi="Arial" w:cs="Arial"/>
        </w:rPr>
        <w:t xml:space="preserve">auf die Gefahren und negativen Auswirkungen der „von keinem Unternehmen beeinflussbaren“ Rahmenbedingungen hin. Er machte an einer Reihe von Beispielen deutlich, wie stark sich derzeit „die Wirtschaft im Würgegriff der Politik“ befinde. </w:t>
      </w:r>
      <w:r w:rsidR="00F3591B" w:rsidRPr="007F4181">
        <w:rPr>
          <w:rFonts w:ascii="Arial" w:hAnsi="Arial" w:cs="Arial"/>
        </w:rPr>
        <w:t xml:space="preserve">Im Einzelnen nannte er die </w:t>
      </w:r>
      <w:r w:rsidR="00F3591B" w:rsidRPr="007F4181">
        <w:rPr>
          <w:rFonts w:ascii="Arial" w:hAnsi="Arial" w:cs="Arial"/>
        </w:rPr>
        <w:lastRenderedPageBreak/>
        <w:t xml:space="preserve">Handelskonflikte zwischen USA und China sowie USA und EU, das „Brexit-Chaos mit nach wie vor ungewissem Ausgang“, die Krisenherde Syrien/Türkei, Hongkong/China, Iran/USA und Russland/Ukraine. Hinzu komme das ebenfalls mit einem „hohen Konfliktpotenzial“ verbundene Geschehen im Zusammenhang mit dem Klimawandel. </w:t>
      </w:r>
      <w:r w:rsidR="007E1E88" w:rsidRPr="007F4181">
        <w:rPr>
          <w:rFonts w:ascii="Arial" w:hAnsi="Arial" w:cs="Arial"/>
        </w:rPr>
        <w:t>Protektionismus, Populismus und gesellschaftliche Ressentiments seien direkte oder indirekte Krisenfolgen.</w:t>
      </w:r>
    </w:p>
    <w:p w14:paraId="10609D57" w14:textId="6580D00B" w:rsidR="007E1E88" w:rsidRPr="007F4181" w:rsidRDefault="007E1E88" w:rsidP="00647F4B">
      <w:pPr>
        <w:adjustRightInd w:val="0"/>
        <w:spacing w:line="360" w:lineRule="auto"/>
        <w:ind w:right="1752"/>
        <w:contextualSpacing/>
        <w:jc w:val="both"/>
        <w:rPr>
          <w:rFonts w:ascii="Arial" w:hAnsi="Arial" w:cs="Arial"/>
        </w:rPr>
      </w:pPr>
    </w:p>
    <w:p w14:paraId="19BA341A" w14:textId="1B7A9719" w:rsidR="007E1E88" w:rsidRPr="007F4181" w:rsidRDefault="007E1E88" w:rsidP="00647F4B">
      <w:pPr>
        <w:adjustRightInd w:val="0"/>
        <w:spacing w:line="360" w:lineRule="auto"/>
        <w:ind w:right="1752"/>
        <w:contextualSpacing/>
        <w:jc w:val="both"/>
        <w:rPr>
          <w:rFonts w:ascii="Arial" w:hAnsi="Arial" w:cs="Arial"/>
        </w:rPr>
      </w:pPr>
      <w:r w:rsidRPr="007F4181">
        <w:rPr>
          <w:rFonts w:ascii="Arial" w:hAnsi="Arial" w:cs="Arial"/>
        </w:rPr>
        <w:t>Als ein Haupt</w:t>
      </w:r>
      <w:r w:rsidR="00CE1489" w:rsidRPr="007F4181">
        <w:rPr>
          <w:rFonts w:ascii="Arial" w:hAnsi="Arial" w:cs="Arial"/>
        </w:rPr>
        <w:t xml:space="preserve">problem stufte Keill die „scheinbar unaufhaltsame Sanktionsspirale“ ein. Die Politik könne oder wolle nicht erkennen, dass Strafaktionen etwa bei Zöllen keineswegs nur das jeweils adressierte Land träfen, sondern </w:t>
      </w:r>
      <w:r w:rsidR="00D22BF0" w:rsidRPr="007F4181">
        <w:rPr>
          <w:rFonts w:ascii="Arial" w:hAnsi="Arial" w:cs="Arial"/>
        </w:rPr>
        <w:t xml:space="preserve">in einer globalisierten Welt zwangsläufig konkrete Auswirkungen auf fast alle Wirtschaftszweige und Unternehmen hätten. Im Klartext heiße das: „Sanktionen kosten Wachstum, Arbeitsplätze und Einkommen.“ Wenn es an der Entwicklung etwas Positives gebe, sei es vielleicht die Hoffnung, </w:t>
      </w:r>
      <w:r w:rsidR="006547B8" w:rsidRPr="007F4181">
        <w:rPr>
          <w:rFonts w:ascii="Arial" w:hAnsi="Arial" w:cs="Arial"/>
        </w:rPr>
        <w:t xml:space="preserve">dass „die gravierenden politischen Fehlentscheidungen inzwischen getroffen sind.“ So wagte der Chef der Roto-Gruppe für Großbritannien die Prognose, dass nach den Neuwahlen im Dezember ein zweites Brexit-Referendum folge und am Ende der EU-Austritt doch nicht stattfinde. Im Vereinigten Königreich selbst seien die negativen </w:t>
      </w:r>
      <w:proofErr w:type="spellStart"/>
      <w:r w:rsidR="006547B8" w:rsidRPr="007F4181">
        <w:rPr>
          <w:rFonts w:ascii="Arial" w:hAnsi="Arial" w:cs="Arial"/>
        </w:rPr>
        <w:t>Brexit</w:t>
      </w:r>
      <w:proofErr w:type="spellEnd"/>
      <w:r w:rsidR="006547B8" w:rsidRPr="007F4181">
        <w:rPr>
          <w:rFonts w:ascii="Arial" w:hAnsi="Arial" w:cs="Arial"/>
        </w:rPr>
        <w:t xml:space="preserve">-Konsequenzen indes </w:t>
      </w:r>
      <w:r w:rsidR="00F85514" w:rsidRPr="007F4181">
        <w:rPr>
          <w:rFonts w:ascii="Arial" w:hAnsi="Arial" w:cs="Arial"/>
        </w:rPr>
        <w:t>bereits</w:t>
      </w:r>
      <w:r w:rsidR="006547B8" w:rsidRPr="007F4181">
        <w:rPr>
          <w:rFonts w:ascii="Arial" w:hAnsi="Arial" w:cs="Arial"/>
        </w:rPr>
        <w:t xml:space="preserve"> „angekommen“. Mit Blick auf die USA </w:t>
      </w:r>
      <w:r w:rsidR="005E2623" w:rsidRPr="007F4181">
        <w:rPr>
          <w:rFonts w:ascii="Arial" w:hAnsi="Arial" w:cs="Arial"/>
        </w:rPr>
        <w:t xml:space="preserve">vertrat Keill die Meinung, dass Donald Trump die initiierten Handelskonflikte </w:t>
      </w:r>
      <w:r w:rsidR="00F85514" w:rsidRPr="007F4181">
        <w:rPr>
          <w:rFonts w:ascii="Arial" w:hAnsi="Arial" w:cs="Arial"/>
        </w:rPr>
        <w:t>schon</w:t>
      </w:r>
      <w:r w:rsidR="005E2623" w:rsidRPr="007F4181">
        <w:rPr>
          <w:rFonts w:ascii="Arial" w:hAnsi="Arial" w:cs="Arial"/>
        </w:rPr>
        <w:t xml:space="preserve"> mit Blick auf die Präsidentschaftswahlen am 3. November 2020 in „ziemlich naher Zukunft“ lösen oder zumindest entschärfen werde bzw. müsse.</w:t>
      </w:r>
    </w:p>
    <w:p w14:paraId="7BBB5CED" w14:textId="5DE8DF4A" w:rsidR="00615950" w:rsidRPr="007F4181" w:rsidRDefault="00615950" w:rsidP="00647F4B">
      <w:pPr>
        <w:adjustRightInd w:val="0"/>
        <w:spacing w:line="360" w:lineRule="auto"/>
        <w:ind w:right="1752"/>
        <w:contextualSpacing/>
        <w:jc w:val="both"/>
        <w:rPr>
          <w:rFonts w:ascii="Arial" w:hAnsi="Arial" w:cs="Arial"/>
        </w:rPr>
      </w:pPr>
    </w:p>
    <w:p w14:paraId="07AD7752" w14:textId="6C5BBFA1" w:rsidR="008059CC" w:rsidRPr="007F4181" w:rsidRDefault="00F85514" w:rsidP="008059CC">
      <w:pPr>
        <w:adjustRightInd w:val="0"/>
        <w:spacing w:line="360" w:lineRule="auto"/>
        <w:ind w:right="1752"/>
        <w:contextualSpacing/>
        <w:jc w:val="both"/>
        <w:rPr>
          <w:rFonts w:ascii="Arial" w:hAnsi="Arial" w:cs="Arial"/>
          <w:b/>
          <w:bCs/>
        </w:rPr>
      </w:pPr>
      <w:r w:rsidRPr="007F4181">
        <w:rPr>
          <w:rFonts w:ascii="Arial" w:hAnsi="Arial" w:cs="Arial"/>
          <w:b/>
          <w:bCs/>
        </w:rPr>
        <w:t>Leichtes Umsatzplus ins Ziel bringen</w:t>
      </w:r>
    </w:p>
    <w:p w14:paraId="24C72EAD" w14:textId="77777777" w:rsidR="008059CC" w:rsidRPr="007F4181" w:rsidRDefault="008059CC" w:rsidP="008059CC">
      <w:pPr>
        <w:adjustRightInd w:val="0"/>
        <w:spacing w:line="360" w:lineRule="auto"/>
        <w:ind w:right="1752"/>
        <w:contextualSpacing/>
        <w:jc w:val="both"/>
        <w:rPr>
          <w:rFonts w:ascii="Arial" w:hAnsi="Arial" w:cs="Arial"/>
        </w:rPr>
      </w:pPr>
    </w:p>
    <w:p w14:paraId="7834418C" w14:textId="77777777" w:rsidR="00F85514" w:rsidRPr="007F4181" w:rsidRDefault="008059CC" w:rsidP="00647F4B">
      <w:pPr>
        <w:adjustRightInd w:val="0"/>
        <w:spacing w:line="360" w:lineRule="auto"/>
        <w:ind w:right="1752"/>
        <w:contextualSpacing/>
        <w:jc w:val="both"/>
        <w:rPr>
          <w:rFonts w:ascii="Arial" w:hAnsi="Arial" w:cs="Arial"/>
        </w:rPr>
      </w:pPr>
      <w:r w:rsidRPr="007F4181">
        <w:rPr>
          <w:rFonts w:ascii="Arial" w:hAnsi="Arial" w:cs="Arial"/>
        </w:rPr>
        <w:t xml:space="preserve">Die erheblichen politischen Spannungen hätten 2019 auch in für Roto relevanten Märkten bzw. Regionen Spuren hinterlassen und das eigene Geschäft insoweit ebenfalls partiell beeinträchtigt. Dennoch stehe per 30. September ein um knapp 1 % gestiegener Gesamtumsatz von </w:t>
      </w:r>
      <w:r w:rsidR="00673EB3" w:rsidRPr="007F4181">
        <w:rPr>
          <w:rFonts w:ascii="Arial" w:hAnsi="Arial" w:cs="Arial"/>
        </w:rPr>
        <w:t xml:space="preserve">509,4 Mio. Euro </w:t>
      </w:r>
      <w:r w:rsidRPr="007F4181">
        <w:rPr>
          <w:rFonts w:ascii="Arial" w:hAnsi="Arial" w:cs="Arial"/>
        </w:rPr>
        <w:t xml:space="preserve">(nach </w:t>
      </w:r>
      <w:r w:rsidR="00673EB3" w:rsidRPr="007F4181">
        <w:rPr>
          <w:rFonts w:ascii="Arial" w:hAnsi="Arial" w:cs="Arial"/>
        </w:rPr>
        <w:t>505,6 Mio. Euro) zu Buche. Darin schlage sich die spezifische Entwicklung der drei Divisionen nieder. Während die Fenster- und Türtechnologie (FTT) auf Vorjahresniveau liege, weise</w:t>
      </w:r>
      <w:r w:rsidR="00F85514" w:rsidRPr="007F4181">
        <w:rPr>
          <w:rFonts w:ascii="Arial" w:hAnsi="Arial" w:cs="Arial"/>
        </w:rPr>
        <w:t xml:space="preserve"> die</w:t>
      </w:r>
      <w:r w:rsidR="00673EB3" w:rsidRPr="007F4181">
        <w:rPr>
          <w:rFonts w:ascii="Arial" w:hAnsi="Arial" w:cs="Arial"/>
        </w:rPr>
        <w:t xml:space="preserve"> </w:t>
      </w:r>
      <w:r w:rsidR="00673EB3" w:rsidRPr="007F4181">
        <w:rPr>
          <w:rFonts w:ascii="Arial" w:hAnsi="Arial" w:cs="Arial"/>
        </w:rPr>
        <w:lastRenderedPageBreak/>
        <w:t xml:space="preserve">Dachsystem-Technologie (DST) ein moderates Wachstum aus. Professional Service (RPS) als jüngste Division verzeichne eine „planmäßige“ Steigerung. </w:t>
      </w:r>
    </w:p>
    <w:p w14:paraId="73B38651" w14:textId="77777777" w:rsidR="00F85514" w:rsidRPr="007F4181" w:rsidRDefault="00F85514" w:rsidP="00647F4B">
      <w:pPr>
        <w:adjustRightInd w:val="0"/>
        <w:spacing w:line="360" w:lineRule="auto"/>
        <w:ind w:right="1752"/>
        <w:contextualSpacing/>
        <w:jc w:val="both"/>
        <w:rPr>
          <w:rFonts w:ascii="Arial" w:hAnsi="Arial" w:cs="Arial"/>
        </w:rPr>
      </w:pPr>
    </w:p>
    <w:p w14:paraId="4710E56B" w14:textId="709143A5" w:rsidR="00673EB3" w:rsidRPr="007F4181" w:rsidRDefault="00673EB3" w:rsidP="00647F4B">
      <w:pPr>
        <w:adjustRightInd w:val="0"/>
        <w:spacing w:line="360" w:lineRule="auto"/>
        <w:ind w:right="1752"/>
        <w:contextualSpacing/>
        <w:jc w:val="both"/>
        <w:rPr>
          <w:rFonts w:ascii="Arial" w:hAnsi="Arial" w:cs="Arial"/>
        </w:rPr>
      </w:pPr>
      <w:r w:rsidRPr="007F4181">
        <w:rPr>
          <w:rFonts w:ascii="Arial" w:hAnsi="Arial" w:cs="Arial"/>
        </w:rPr>
        <w:t>Da es im 4. Quartal voraussichtlich keine generellen Änderungen gebe, lasse sich die bisherige Entwicklung bis zum Jahresende fortschreiben. Daher rechnet Keill damit, dass man um das Umsatzplus von 1 % „zwar noch kämpfen muss“, es jedoch letztlich erreicht. Damit sei für 2019 insgesamt ein Gruppenumsatz von etwa</w:t>
      </w:r>
      <w:r w:rsidR="00C47C56" w:rsidRPr="007F4181">
        <w:rPr>
          <w:rFonts w:ascii="Arial" w:hAnsi="Arial" w:cs="Arial"/>
        </w:rPr>
        <w:t>s über</w:t>
      </w:r>
      <w:r w:rsidRPr="007F4181">
        <w:rPr>
          <w:rFonts w:ascii="Arial" w:hAnsi="Arial" w:cs="Arial"/>
        </w:rPr>
        <w:t xml:space="preserve"> 668 Mio. Euro (nach 661,8 Mio. Euro) zu erwarten. Die angestrebte Wachstumsrate zwischen 3 % und 5 % werde deutlich unterschritten. Das beruhe im Wesentlichen au</w:t>
      </w:r>
      <w:r w:rsidR="00F85514" w:rsidRPr="007F4181">
        <w:rPr>
          <w:rFonts w:ascii="Arial" w:hAnsi="Arial" w:cs="Arial"/>
        </w:rPr>
        <w:t>f</w:t>
      </w:r>
      <w:r w:rsidRPr="007F4181">
        <w:rPr>
          <w:rFonts w:ascii="Arial" w:hAnsi="Arial" w:cs="Arial"/>
        </w:rPr>
        <w:t xml:space="preserve"> den politisch bedingten Marktrückgängen im FTT-Sektor. </w:t>
      </w:r>
    </w:p>
    <w:p w14:paraId="5F057919" w14:textId="77777777" w:rsidR="00673EB3" w:rsidRPr="007F4181" w:rsidRDefault="00673EB3" w:rsidP="00647F4B">
      <w:pPr>
        <w:adjustRightInd w:val="0"/>
        <w:spacing w:line="360" w:lineRule="auto"/>
        <w:ind w:right="1752"/>
        <w:contextualSpacing/>
        <w:jc w:val="both"/>
        <w:rPr>
          <w:rFonts w:ascii="Arial" w:hAnsi="Arial" w:cs="Arial"/>
        </w:rPr>
      </w:pPr>
    </w:p>
    <w:p w14:paraId="6641F713" w14:textId="2DD67667" w:rsidR="00615950" w:rsidRPr="007F4181" w:rsidRDefault="00673EB3" w:rsidP="00647F4B">
      <w:pPr>
        <w:adjustRightInd w:val="0"/>
        <w:spacing w:line="360" w:lineRule="auto"/>
        <w:ind w:right="1752"/>
        <w:contextualSpacing/>
        <w:jc w:val="both"/>
        <w:rPr>
          <w:rFonts w:ascii="Arial" w:hAnsi="Arial" w:cs="Arial"/>
        </w:rPr>
      </w:pPr>
      <w:r w:rsidRPr="007F4181">
        <w:rPr>
          <w:rFonts w:ascii="Arial" w:hAnsi="Arial" w:cs="Arial"/>
        </w:rPr>
        <w:t xml:space="preserve">Die Relation zwischen Auslands- und Inlandsgeschäft bleibe auf Gruppenebene mit </w:t>
      </w:r>
      <w:r w:rsidR="00F85514" w:rsidRPr="007F4181">
        <w:rPr>
          <w:rFonts w:ascii="Arial" w:hAnsi="Arial" w:cs="Arial"/>
        </w:rPr>
        <w:t>rund</w:t>
      </w:r>
      <w:r w:rsidRPr="007F4181">
        <w:rPr>
          <w:rFonts w:ascii="Arial" w:hAnsi="Arial" w:cs="Arial"/>
        </w:rPr>
        <w:t xml:space="preserve"> zwei Drittel zu ein Drittel stabil. Gleiches gelte im Kern für die Mitarbeiterzahl, die bei aktuell rückläufige</w:t>
      </w:r>
      <w:r w:rsidR="000D7F84" w:rsidRPr="007F4181">
        <w:rPr>
          <w:rFonts w:ascii="Arial" w:hAnsi="Arial" w:cs="Arial"/>
        </w:rPr>
        <w:t xml:space="preserve">r </w:t>
      </w:r>
      <w:r w:rsidRPr="007F4181">
        <w:rPr>
          <w:rFonts w:ascii="Arial" w:hAnsi="Arial" w:cs="Arial"/>
        </w:rPr>
        <w:t xml:space="preserve">Tendenz weltweit </w:t>
      </w:r>
      <w:r w:rsidR="000D7F84" w:rsidRPr="007F4181">
        <w:rPr>
          <w:rFonts w:ascii="Arial" w:hAnsi="Arial" w:cs="Arial"/>
        </w:rPr>
        <w:t>ca.</w:t>
      </w:r>
      <w:r w:rsidRPr="007F4181">
        <w:rPr>
          <w:rFonts w:ascii="Arial" w:hAnsi="Arial" w:cs="Arial"/>
        </w:rPr>
        <w:t xml:space="preserve"> 4.900 betrage. Das von jeder Division in ihrem Bereich verantwortete Investitionsvolumen bewege sich in der Periode 2019/2020 erneut auf hohem Niveau</w:t>
      </w:r>
      <w:r w:rsidR="0088572C" w:rsidRPr="007F4181">
        <w:rPr>
          <w:rFonts w:ascii="Arial" w:hAnsi="Arial" w:cs="Arial"/>
        </w:rPr>
        <w:t>.</w:t>
      </w:r>
      <w:r w:rsidRPr="007F4181">
        <w:rPr>
          <w:rFonts w:ascii="Arial" w:hAnsi="Arial" w:cs="Arial"/>
        </w:rPr>
        <w:t xml:space="preserve"> Dabei bilde die Digitalisierung </w:t>
      </w:r>
      <w:r w:rsidR="0088572C" w:rsidRPr="007F4181">
        <w:rPr>
          <w:rFonts w:ascii="Arial" w:hAnsi="Arial" w:cs="Arial"/>
        </w:rPr>
        <w:t xml:space="preserve">einen Schwerpunkt. Keill räumte ein, aufgrund der politischen Risiken bei einzelnen Investitionsentscheidungen zurückhaltend zu agieren. </w:t>
      </w:r>
    </w:p>
    <w:p w14:paraId="08038E15" w14:textId="0B6E6DD6" w:rsidR="00CE3E45" w:rsidRPr="007F4181" w:rsidRDefault="00CE3E45" w:rsidP="00647F4B">
      <w:pPr>
        <w:adjustRightInd w:val="0"/>
        <w:spacing w:line="360" w:lineRule="auto"/>
        <w:ind w:right="1752"/>
        <w:contextualSpacing/>
        <w:jc w:val="both"/>
        <w:rPr>
          <w:rFonts w:ascii="Arial" w:hAnsi="Arial" w:cs="Arial"/>
        </w:rPr>
      </w:pPr>
    </w:p>
    <w:p w14:paraId="6C62938A" w14:textId="754B9B5A" w:rsidR="00CE3E45" w:rsidRPr="007F4181" w:rsidRDefault="00F85514" w:rsidP="00CE3E45">
      <w:pPr>
        <w:adjustRightInd w:val="0"/>
        <w:spacing w:line="360" w:lineRule="auto"/>
        <w:ind w:right="1752"/>
        <w:contextualSpacing/>
        <w:jc w:val="both"/>
        <w:rPr>
          <w:rFonts w:ascii="Arial" w:hAnsi="Arial" w:cs="Arial"/>
          <w:b/>
          <w:bCs/>
        </w:rPr>
      </w:pPr>
      <w:r w:rsidRPr="007F4181">
        <w:rPr>
          <w:rFonts w:ascii="Arial" w:hAnsi="Arial" w:cs="Arial"/>
          <w:b/>
          <w:bCs/>
        </w:rPr>
        <w:t>In neuer Formation gut behauptet</w:t>
      </w:r>
    </w:p>
    <w:p w14:paraId="1CC3138A" w14:textId="77777777" w:rsidR="00CE3E45" w:rsidRPr="007F4181" w:rsidRDefault="00CE3E45" w:rsidP="00CE3E45">
      <w:pPr>
        <w:adjustRightInd w:val="0"/>
        <w:spacing w:line="360" w:lineRule="auto"/>
        <w:ind w:right="1752"/>
        <w:contextualSpacing/>
        <w:jc w:val="both"/>
        <w:rPr>
          <w:rFonts w:ascii="Arial" w:hAnsi="Arial" w:cs="Arial"/>
        </w:rPr>
      </w:pPr>
    </w:p>
    <w:p w14:paraId="267852AE" w14:textId="71E23E36" w:rsidR="00CE3E45" w:rsidRPr="007F4181" w:rsidRDefault="00CE3E45" w:rsidP="00647F4B">
      <w:pPr>
        <w:adjustRightInd w:val="0"/>
        <w:spacing w:line="360" w:lineRule="auto"/>
        <w:ind w:right="1752"/>
        <w:contextualSpacing/>
        <w:jc w:val="both"/>
        <w:rPr>
          <w:rFonts w:ascii="Arial" w:hAnsi="Arial" w:cs="Arial"/>
          <w:bCs/>
          <w:iCs/>
          <w:color w:val="000000" w:themeColor="text1"/>
        </w:rPr>
      </w:pPr>
      <w:r w:rsidRPr="007F4181">
        <w:rPr>
          <w:rFonts w:ascii="Arial" w:hAnsi="Arial" w:cs="Arial"/>
          <w:bCs/>
          <w:iCs/>
          <w:color w:val="000000" w:themeColor="text1"/>
        </w:rPr>
        <w:t xml:space="preserve">Bei der Ertragssituation ist der Bauzulieferer in der Gesamtbetrachtung von „Zufriedenheit immer noch ein Stück entfernt“. Bei „gutem Verlauf“ und mit „großen Anstrengungen“ sei es aber möglich, das Gruppenergebnis des Vorjahres leicht zu übertreffen. Hier müsse man u. a. die bei der Umsetzung der neuen </w:t>
      </w:r>
      <w:r w:rsidR="00F85514" w:rsidRPr="007F4181">
        <w:rPr>
          <w:rFonts w:ascii="Arial" w:hAnsi="Arial" w:cs="Arial"/>
          <w:bCs/>
          <w:iCs/>
          <w:color w:val="000000" w:themeColor="text1"/>
        </w:rPr>
        <w:t>S</w:t>
      </w:r>
      <w:r w:rsidRPr="007F4181">
        <w:rPr>
          <w:rFonts w:ascii="Arial" w:hAnsi="Arial" w:cs="Arial"/>
          <w:bCs/>
          <w:iCs/>
          <w:color w:val="000000" w:themeColor="text1"/>
        </w:rPr>
        <w:t>truktur angefallenen Einmalkosten als Sonderfaktor beachten.</w:t>
      </w:r>
    </w:p>
    <w:p w14:paraId="6DC39C6B" w14:textId="0454A6B1" w:rsidR="00CE3E45" w:rsidRPr="007F4181" w:rsidRDefault="00CE3E45" w:rsidP="00647F4B">
      <w:pPr>
        <w:adjustRightInd w:val="0"/>
        <w:spacing w:line="360" w:lineRule="auto"/>
        <w:ind w:right="1752"/>
        <w:contextualSpacing/>
        <w:jc w:val="both"/>
        <w:rPr>
          <w:rFonts w:ascii="Arial" w:hAnsi="Arial" w:cs="Arial"/>
          <w:bCs/>
          <w:iCs/>
          <w:color w:val="000000" w:themeColor="text1"/>
        </w:rPr>
      </w:pPr>
    </w:p>
    <w:p w14:paraId="3E8B847B" w14:textId="55B5EE38" w:rsidR="00CE3E45" w:rsidRPr="007F4181" w:rsidRDefault="00CE3E45" w:rsidP="00647F4B">
      <w:pPr>
        <w:adjustRightInd w:val="0"/>
        <w:spacing w:line="360" w:lineRule="auto"/>
        <w:ind w:right="1752"/>
        <w:contextualSpacing/>
        <w:jc w:val="both"/>
        <w:rPr>
          <w:rFonts w:ascii="Arial" w:hAnsi="Arial" w:cs="Arial"/>
          <w:bCs/>
          <w:iCs/>
          <w:color w:val="000000" w:themeColor="text1"/>
        </w:rPr>
      </w:pPr>
      <w:r w:rsidRPr="007F4181">
        <w:rPr>
          <w:rFonts w:ascii="Arial" w:hAnsi="Arial" w:cs="Arial"/>
          <w:bCs/>
          <w:iCs/>
          <w:color w:val="000000" w:themeColor="text1"/>
        </w:rPr>
        <w:t>Der geänderte Roto-Verbund hat sich wie geplant formiert und etabliert, berichtete Keill ergänzend. Alle Gremien (</w:t>
      </w:r>
      <w:r w:rsidR="00F85514" w:rsidRPr="007F4181">
        <w:rPr>
          <w:rFonts w:ascii="Arial" w:hAnsi="Arial" w:cs="Arial"/>
          <w:bCs/>
          <w:iCs/>
          <w:color w:val="000000" w:themeColor="text1"/>
        </w:rPr>
        <w:t>z</w:t>
      </w:r>
      <w:r w:rsidRPr="007F4181">
        <w:rPr>
          <w:rFonts w:ascii="Arial" w:hAnsi="Arial" w:cs="Arial"/>
          <w:bCs/>
          <w:iCs/>
          <w:color w:val="000000" w:themeColor="text1"/>
        </w:rPr>
        <w:t xml:space="preserve">. </w:t>
      </w:r>
      <w:r w:rsidR="00F85514" w:rsidRPr="007F4181">
        <w:rPr>
          <w:rFonts w:ascii="Arial" w:hAnsi="Arial" w:cs="Arial"/>
          <w:bCs/>
          <w:iCs/>
          <w:color w:val="000000" w:themeColor="text1"/>
        </w:rPr>
        <w:t>B</w:t>
      </w:r>
      <w:r w:rsidRPr="007F4181">
        <w:rPr>
          <w:rFonts w:ascii="Arial" w:hAnsi="Arial" w:cs="Arial"/>
          <w:bCs/>
          <w:iCs/>
          <w:color w:val="000000" w:themeColor="text1"/>
        </w:rPr>
        <w:t xml:space="preserve">. neue Holding- und FTT-Aufsichtsräte sowie neuer DST-Beirat) seien gebildet und die Geschäftsführungen der Unternehmen komplett besetzt. „Die praktische </w:t>
      </w:r>
      <w:r w:rsidRPr="007F4181">
        <w:rPr>
          <w:rFonts w:ascii="Arial" w:hAnsi="Arial" w:cs="Arial"/>
          <w:bCs/>
          <w:iCs/>
          <w:color w:val="000000" w:themeColor="text1"/>
        </w:rPr>
        <w:lastRenderedPageBreak/>
        <w:t>Arbeit läuft gut“, betonte der Alleinvorstand. Mit der zweiten Ausgabe der Projektzeitung „</w:t>
      </w:r>
      <w:proofErr w:type="spellStart"/>
      <w:r w:rsidRPr="007F4181">
        <w:rPr>
          <w:rFonts w:ascii="Arial" w:hAnsi="Arial" w:cs="Arial"/>
          <w:bCs/>
          <w:iCs/>
          <w:color w:val="000000" w:themeColor="text1"/>
        </w:rPr>
        <w:t>Up</w:t>
      </w:r>
      <w:proofErr w:type="spellEnd"/>
      <w:r w:rsidRPr="007F4181">
        <w:rPr>
          <w:rFonts w:ascii="Arial" w:hAnsi="Arial" w:cs="Arial"/>
          <w:bCs/>
          <w:iCs/>
          <w:color w:val="000000" w:themeColor="text1"/>
        </w:rPr>
        <w:t xml:space="preserve"> </w:t>
      </w:r>
      <w:proofErr w:type="spellStart"/>
      <w:r w:rsidRPr="007F4181">
        <w:rPr>
          <w:rFonts w:ascii="Arial" w:hAnsi="Arial" w:cs="Arial"/>
          <w:bCs/>
          <w:iCs/>
          <w:color w:val="000000" w:themeColor="text1"/>
        </w:rPr>
        <w:t>to</w:t>
      </w:r>
      <w:proofErr w:type="spellEnd"/>
      <w:r w:rsidRPr="007F4181">
        <w:rPr>
          <w:rFonts w:ascii="Arial" w:hAnsi="Arial" w:cs="Arial"/>
          <w:bCs/>
          <w:iCs/>
          <w:color w:val="000000" w:themeColor="text1"/>
        </w:rPr>
        <w:t xml:space="preserve"> </w:t>
      </w:r>
      <w:proofErr w:type="spellStart"/>
      <w:r w:rsidRPr="007F4181">
        <w:rPr>
          <w:rFonts w:ascii="Arial" w:hAnsi="Arial" w:cs="Arial"/>
          <w:bCs/>
          <w:iCs/>
          <w:color w:val="000000" w:themeColor="text1"/>
        </w:rPr>
        <w:t>date</w:t>
      </w:r>
      <w:proofErr w:type="spellEnd"/>
      <w:r w:rsidRPr="007F4181">
        <w:rPr>
          <w:rFonts w:ascii="Arial" w:hAnsi="Arial" w:cs="Arial"/>
          <w:bCs/>
          <w:iCs/>
          <w:color w:val="000000" w:themeColor="text1"/>
        </w:rPr>
        <w:t xml:space="preserve">“ </w:t>
      </w:r>
      <w:r w:rsidR="00F85514" w:rsidRPr="007F4181">
        <w:rPr>
          <w:rFonts w:ascii="Arial" w:hAnsi="Arial" w:cs="Arial"/>
          <w:bCs/>
          <w:iCs/>
          <w:color w:val="000000" w:themeColor="text1"/>
        </w:rPr>
        <w:t xml:space="preserve">habe man </w:t>
      </w:r>
      <w:r w:rsidRPr="007F4181">
        <w:rPr>
          <w:rFonts w:ascii="Arial" w:hAnsi="Arial" w:cs="Arial"/>
          <w:bCs/>
          <w:iCs/>
          <w:color w:val="000000" w:themeColor="text1"/>
        </w:rPr>
        <w:t xml:space="preserve">die Beschäftigten Anfang November über den Status </w:t>
      </w:r>
      <w:r w:rsidR="00F85514" w:rsidRPr="007F4181">
        <w:rPr>
          <w:rFonts w:ascii="Arial" w:hAnsi="Arial" w:cs="Arial"/>
          <w:bCs/>
          <w:iCs/>
          <w:color w:val="000000" w:themeColor="text1"/>
        </w:rPr>
        <w:t>q</w:t>
      </w:r>
      <w:r w:rsidRPr="007F4181">
        <w:rPr>
          <w:rFonts w:ascii="Arial" w:hAnsi="Arial" w:cs="Arial"/>
          <w:bCs/>
          <w:iCs/>
          <w:color w:val="000000" w:themeColor="text1"/>
        </w:rPr>
        <w:t xml:space="preserve">uo informiert. Mitte 2020 sei ein erster gemeinsamer „Erfahrungs-Check“ vorgesehen. Im Übrigen halte es Roto in der Praxis mit dem Appell von Konfuzius: „Wenn Du die Absicht hast, </w:t>
      </w:r>
      <w:r w:rsidR="00F85514" w:rsidRPr="007F4181">
        <w:rPr>
          <w:rFonts w:ascii="Arial" w:hAnsi="Arial" w:cs="Arial"/>
          <w:bCs/>
          <w:iCs/>
          <w:color w:val="000000" w:themeColor="text1"/>
        </w:rPr>
        <w:t>D</w:t>
      </w:r>
      <w:r w:rsidRPr="007F4181">
        <w:rPr>
          <w:rFonts w:ascii="Arial" w:hAnsi="Arial" w:cs="Arial"/>
          <w:bCs/>
          <w:iCs/>
          <w:color w:val="000000" w:themeColor="text1"/>
        </w:rPr>
        <w:t>ich zu erneuern, tue es jeden Tag.“</w:t>
      </w:r>
    </w:p>
    <w:p w14:paraId="6744CA33" w14:textId="550DE469" w:rsidR="00CE3E45" w:rsidRPr="007F4181" w:rsidRDefault="00CE3E45" w:rsidP="00647F4B">
      <w:pPr>
        <w:adjustRightInd w:val="0"/>
        <w:spacing w:line="360" w:lineRule="auto"/>
        <w:ind w:right="1752"/>
        <w:contextualSpacing/>
        <w:jc w:val="both"/>
        <w:rPr>
          <w:rFonts w:ascii="Arial" w:hAnsi="Arial" w:cs="Arial"/>
          <w:bCs/>
          <w:iCs/>
          <w:color w:val="000000" w:themeColor="text1"/>
        </w:rPr>
      </w:pPr>
    </w:p>
    <w:p w14:paraId="2E1D7C3B" w14:textId="50E2AFC6" w:rsidR="00BB2F94" w:rsidRPr="007F4181" w:rsidRDefault="00CE3E45" w:rsidP="00BB2F94">
      <w:pPr>
        <w:adjustRightInd w:val="0"/>
        <w:spacing w:line="360" w:lineRule="auto"/>
        <w:ind w:right="1752"/>
        <w:contextualSpacing/>
        <w:jc w:val="both"/>
        <w:rPr>
          <w:rFonts w:ascii="Arial" w:hAnsi="Arial" w:cs="Arial"/>
        </w:rPr>
      </w:pPr>
      <w:r w:rsidRPr="007F4181">
        <w:rPr>
          <w:rFonts w:ascii="Arial" w:hAnsi="Arial" w:cs="Arial"/>
          <w:bCs/>
          <w:iCs/>
          <w:color w:val="000000" w:themeColor="text1"/>
        </w:rPr>
        <w:t>In ihrem Startjahr konnte sich die neue Roto-Gruppe „</w:t>
      </w:r>
      <w:proofErr w:type="spellStart"/>
      <w:r w:rsidRPr="007F4181">
        <w:rPr>
          <w:rFonts w:ascii="Arial" w:hAnsi="Arial" w:cs="Arial"/>
          <w:bCs/>
          <w:iCs/>
          <w:color w:val="000000" w:themeColor="text1"/>
        </w:rPr>
        <w:t>over</w:t>
      </w:r>
      <w:proofErr w:type="spellEnd"/>
      <w:r w:rsidRPr="007F4181">
        <w:rPr>
          <w:rFonts w:ascii="Arial" w:hAnsi="Arial" w:cs="Arial"/>
          <w:bCs/>
          <w:iCs/>
          <w:color w:val="000000" w:themeColor="text1"/>
        </w:rPr>
        <w:t xml:space="preserve"> all“ gut behaupten, hieß es zusammenfassend gegenüber der internationalen Fachpresse. Das sei primär der eigenen Performance zu verdanken. Ohne den „Würgegriff der Politik“ wäre speziell bei FTT erheblich mehr machbar gewesen, resümierte Keill.</w:t>
      </w:r>
      <w:r w:rsidR="00BB2F94" w:rsidRPr="007F4181">
        <w:rPr>
          <w:rFonts w:ascii="Arial" w:hAnsi="Arial" w:cs="Arial"/>
        </w:rPr>
        <w:t xml:space="preserve"> </w:t>
      </w:r>
    </w:p>
    <w:p w14:paraId="237E1B05" w14:textId="77777777" w:rsidR="00BB2F94" w:rsidRPr="007F4181" w:rsidRDefault="00BB2F94" w:rsidP="00BB2F94">
      <w:pPr>
        <w:adjustRightInd w:val="0"/>
        <w:spacing w:line="360" w:lineRule="auto"/>
        <w:ind w:right="1752"/>
        <w:contextualSpacing/>
        <w:jc w:val="both"/>
        <w:rPr>
          <w:rFonts w:ascii="Arial" w:hAnsi="Arial" w:cs="Arial"/>
        </w:rPr>
      </w:pPr>
    </w:p>
    <w:p w14:paraId="3C33B807" w14:textId="3829B54F" w:rsidR="00BB2F94" w:rsidRPr="007F4181" w:rsidRDefault="00F85514" w:rsidP="00BB2F94">
      <w:pPr>
        <w:adjustRightInd w:val="0"/>
        <w:spacing w:line="360" w:lineRule="auto"/>
        <w:ind w:right="1752"/>
        <w:contextualSpacing/>
        <w:jc w:val="both"/>
        <w:rPr>
          <w:rFonts w:ascii="Arial" w:hAnsi="Arial" w:cs="Arial"/>
          <w:b/>
          <w:bCs/>
        </w:rPr>
      </w:pPr>
      <w:r w:rsidRPr="007F4181">
        <w:rPr>
          <w:rFonts w:ascii="Arial" w:hAnsi="Arial" w:cs="Arial"/>
          <w:b/>
          <w:bCs/>
        </w:rPr>
        <w:t>Aktiv gegen den Negativtrend</w:t>
      </w:r>
    </w:p>
    <w:p w14:paraId="110080D7" w14:textId="37DF4B5C" w:rsidR="00CE3E45" w:rsidRPr="007F4181" w:rsidRDefault="00CE3E45" w:rsidP="00647F4B">
      <w:pPr>
        <w:adjustRightInd w:val="0"/>
        <w:spacing w:line="360" w:lineRule="auto"/>
        <w:ind w:right="1752"/>
        <w:contextualSpacing/>
        <w:jc w:val="both"/>
        <w:rPr>
          <w:rFonts w:ascii="Arial" w:hAnsi="Arial" w:cs="Arial"/>
          <w:bCs/>
          <w:iCs/>
          <w:color w:val="000000" w:themeColor="text1"/>
        </w:rPr>
      </w:pPr>
    </w:p>
    <w:p w14:paraId="0C5AD946" w14:textId="5846143E" w:rsidR="00BB2F94" w:rsidRPr="007F4181" w:rsidRDefault="009E3451" w:rsidP="00647F4B">
      <w:pPr>
        <w:adjustRightInd w:val="0"/>
        <w:spacing w:line="360" w:lineRule="auto"/>
        <w:ind w:right="1752"/>
        <w:contextualSpacing/>
        <w:jc w:val="both"/>
        <w:rPr>
          <w:rFonts w:ascii="Arial" w:hAnsi="Arial" w:cs="Arial"/>
          <w:bCs/>
          <w:iCs/>
          <w:color w:val="000000" w:themeColor="text1"/>
        </w:rPr>
      </w:pPr>
      <w:r w:rsidRPr="007F4181">
        <w:rPr>
          <w:rFonts w:ascii="Arial" w:hAnsi="Arial" w:cs="Arial"/>
          <w:bCs/>
          <w:iCs/>
          <w:color w:val="000000" w:themeColor="text1"/>
        </w:rPr>
        <w:t xml:space="preserve">In seinem allgemeinen Ausblick formulierte er eine gute und eine schlechte Prognose-Nachricht. Die gute: „Einige geopolitische Krisen werden 2020 aufgrund besserer Einsicht oder unter dem Druck der Umstände bereinigt.“ Das lasse für 2021 auf einen wirtschaftlichen Schub hoffen, der dann auch die Lage auf den relevanten </w:t>
      </w:r>
      <w:r w:rsidR="00F85514" w:rsidRPr="007F4181">
        <w:rPr>
          <w:rFonts w:ascii="Arial" w:hAnsi="Arial" w:cs="Arial"/>
          <w:bCs/>
          <w:iCs/>
          <w:color w:val="000000" w:themeColor="text1"/>
        </w:rPr>
        <w:t>Roto-</w:t>
      </w:r>
      <w:r w:rsidRPr="007F4181">
        <w:rPr>
          <w:rFonts w:ascii="Arial" w:hAnsi="Arial" w:cs="Arial"/>
          <w:bCs/>
          <w:iCs/>
          <w:color w:val="000000" w:themeColor="text1"/>
        </w:rPr>
        <w:t>Märkten verbessere.</w:t>
      </w:r>
    </w:p>
    <w:p w14:paraId="7B4C4860" w14:textId="38818F93" w:rsidR="009E3451" w:rsidRPr="007F4181" w:rsidRDefault="009E3451" w:rsidP="00647F4B">
      <w:pPr>
        <w:adjustRightInd w:val="0"/>
        <w:spacing w:line="360" w:lineRule="auto"/>
        <w:ind w:right="1752"/>
        <w:contextualSpacing/>
        <w:jc w:val="both"/>
        <w:rPr>
          <w:rFonts w:ascii="Arial" w:hAnsi="Arial" w:cs="Arial"/>
          <w:bCs/>
          <w:iCs/>
          <w:color w:val="000000" w:themeColor="text1"/>
        </w:rPr>
      </w:pPr>
    </w:p>
    <w:p w14:paraId="5D6DC840" w14:textId="3095D995" w:rsidR="009E3451" w:rsidRPr="007F4181" w:rsidRDefault="009E3451" w:rsidP="00647F4B">
      <w:pPr>
        <w:adjustRightInd w:val="0"/>
        <w:spacing w:line="360" w:lineRule="auto"/>
        <w:ind w:right="1752"/>
        <w:contextualSpacing/>
        <w:jc w:val="both"/>
        <w:rPr>
          <w:rFonts w:ascii="Arial" w:hAnsi="Arial" w:cs="Arial"/>
          <w:bCs/>
          <w:iCs/>
          <w:color w:val="000000" w:themeColor="text1"/>
        </w:rPr>
      </w:pPr>
      <w:r w:rsidRPr="007F4181">
        <w:rPr>
          <w:rFonts w:ascii="Arial" w:hAnsi="Arial" w:cs="Arial"/>
          <w:bCs/>
          <w:iCs/>
          <w:color w:val="000000" w:themeColor="text1"/>
        </w:rPr>
        <w:t xml:space="preserve">Die schlechte Nachricht: „2020 kommt es infolge der zahlreichen Krisenherde </w:t>
      </w:r>
      <w:r w:rsidR="00F85514" w:rsidRPr="007F4181">
        <w:rPr>
          <w:rFonts w:ascii="Arial" w:hAnsi="Arial" w:cs="Arial"/>
          <w:bCs/>
          <w:iCs/>
          <w:color w:val="000000" w:themeColor="text1"/>
        </w:rPr>
        <w:t>global</w:t>
      </w:r>
      <w:r w:rsidRPr="007F4181">
        <w:rPr>
          <w:rFonts w:ascii="Arial" w:hAnsi="Arial" w:cs="Arial"/>
          <w:bCs/>
          <w:iCs/>
          <w:color w:val="000000" w:themeColor="text1"/>
        </w:rPr>
        <w:t xml:space="preserve"> zu einem Konjunktureinbruch.“ Die jüngste Warnung des Internationalen Währungsfonds (IWF) zeige die Dimensionen an einem einzigen Beispiel. Heben danach die USA und China ihre gegenseitigen Strafzölle nicht auf, sinke die weltweite Wirtschaftslei</w:t>
      </w:r>
      <w:r w:rsidR="00F85514" w:rsidRPr="007F4181">
        <w:rPr>
          <w:rFonts w:ascii="Arial" w:hAnsi="Arial" w:cs="Arial"/>
          <w:bCs/>
          <w:iCs/>
          <w:color w:val="000000" w:themeColor="text1"/>
        </w:rPr>
        <w:t>s</w:t>
      </w:r>
      <w:r w:rsidRPr="007F4181">
        <w:rPr>
          <w:rFonts w:ascii="Arial" w:hAnsi="Arial" w:cs="Arial"/>
          <w:bCs/>
          <w:iCs/>
          <w:color w:val="000000" w:themeColor="text1"/>
        </w:rPr>
        <w:t xml:space="preserve">tung 2020 um rund 700 Milliarden Dollar oder 0,8 %. Und: Wenn das Institut der </w:t>
      </w:r>
      <w:r w:rsidR="00F85514" w:rsidRPr="007F4181">
        <w:rPr>
          <w:rFonts w:ascii="Arial" w:hAnsi="Arial" w:cs="Arial"/>
          <w:bCs/>
          <w:iCs/>
          <w:color w:val="000000" w:themeColor="text1"/>
        </w:rPr>
        <w:t>d</w:t>
      </w:r>
      <w:r w:rsidRPr="007F4181">
        <w:rPr>
          <w:rFonts w:ascii="Arial" w:hAnsi="Arial" w:cs="Arial"/>
          <w:bCs/>
          <w:iCs/>
          <w:color w:val="000000" w:themeColor="text1"/>
        </w:rPr>
        <w:t xml:space="preserve">eutschen Wirtschaft (IW) die Gefahren mit der Überschrift „Handelskrieg: Am Ende verlieren alle“ auf den Punkt bringe, sei dem </w:t>
      </w:r>
      <w:r w:rsidR="00F85514" w:rsidRPr="007F4181">
        <w:rPr>
          <w:rFonts w:ascii="Arial" w:hAnsi="Arial" w:cs="Arial"/>
          <w:bCs/>
          <w:iCs/>
          <w:color w:val="000000" w:themeColor="text1"/>
        </w:rPr>
        <w:t xml:space="preserve">im Prinzip </w:t>
      </w:r>
      <w:r w:rsidRPr="007F4181">
        <w:rPr>
          <w:rFonts w:ascii="Arial" w:hAnsi="Arial" w:cs="Arial"/>
          <w:bCs/>
          <w:iCs/>
          <w:color w:val="000000" w:themeColor="text1"/>
        </w:rPr>
        <w:t>nichts hinzuzufügen. Auch Keill selbst beschrieb die Konsequenzen in Anlehnung daran unmissverständlich: „Märkte, Unternehmen, Beschäftigte: Am Ende leiden alle.“</w:t>
      </w:r>
    </w:p>
    <w:p w14:paraId="67A6C6D5" w14:textId="0426B9F7" w:rsidR="009E3451" w:rsidRPr="007F4181" w:rsidRDefault="009E3451" w:rsidP="00647F4B">
      <w:pPr>
        <w:adjustRightInd w:val="0"/>
        <w:spacing w:line="360" w:lineRule="auto"/>
        <w:ind w:right="1752"/>
        <w:contextualSpacing/>
        <w:jc w:val="both"/>
        <w:rPr>
          <w:rFonts w:ascii="Arial" w:hAnsi="Arial" w:cs="Arial"/>
          <w:bCs/>
          <w:iCs/>
          <w:color w:val="000000" w:themeColor="text1"/>
        </w:rPr>
      </w:pPr>
    </w:p>
    <w:p w14:paraId="5CB8F160" w14:textId="25736A7B" w:rsidR="009E3451" w:rsidRPr="007F4181" w:rsidRDefault="009E3451" w:rsidP="00647F4B">
      <w:pPr>
        <w:adjustRightInd w:val="0"/>
        <w:spacing w:line="360" w:lineRule="auto"/>
        <w:ind w:right="1752"/>
        <w:contextualSpacing/>
        <w:jc w:val="both"/>
        <w:rPr>
          <w:rFonts w:ascii="Arial" w:hAnsi="Arial" w:cs="Arial"/>
          <w:bCs/>
          <w:iCs/>
          <w:color w:val="000000" w:themeColor="text1"/>
        </w:rPr>
      </w:pPr>
      <w:r w:rsidRPr="007F4181">
        <w:rPr>
          <w:rFonts w:ascii="Arial" w:hAnsi="Arial" w:cs="Arial"/>
          <w:bCs/>
          <w:iCs/>
          <w:color w:val="000000" w:themeColor="text1"/>
        </w:rPr>
        <w:lastRenderedPageBreak/>
        <w:t xml:space="preserve">Roto indes wolle und werde sich soweit möglich dem </w:t>
      </w:r>
      <w:r w:rsidR="00F85514" w:rsidRPr="007F4181">
        <w:rPr>
          <w:rFonts w:ascii="Arial" w:hAnsi="Arial" w:cs="Arial"/>
          <w:bCs/>
          <w:iCs/>
          <w:color w:val="000000" w:themeColor="text1"/>
        </w:rPr>
        <w:t xml:space="preserve">generellen </w:t>
      </w:r>
      <w:r w:rsidRPr="007F4181">
        <w:rPr>
          <w:rFonts w:ascii="Arial" w:hAnsi="Arial" w:cs="Arial"/>
          <w:bCs/>
          <w:iCs/>
          <w:color w:val="000000" w:themeColor="text1"/>
        </w:rPr>
        <w:t>Negativtrend entziehen. Dabei vertraue der Bauzulieferer mit seinen drei Divisionen auf die eigenen Stärken, die differenzierende Kundennutzen-Strategie sowie die Wirksamkeit schneller, schlanker und effizienter Prozesse. Damit sei man schon bisher gut gefahren. Auch 2020 soll sich das in einer positiven Firmenkonjunktur niederschlagen. Die konkreten Gruppenziele: unteres einstelliges Umsatzwachstum und verbesserte Ertragskraft.</w:t>
      </w:r>
    </w:p>
    <w:p w14:paraId="57C8AE0C" w14:textId="48C9F97F" w:rsidR="00A011C3" w:rsidRPr="007F4181" w:rsidRDefault="00A011C3" w:rsidP="00647F4B">
      <w:pPr>
        <w:adjustRightInd w:val="0"/>
        <w:spacing w:line="360" w:lineRule="auto"/>
        <w:ind w:right="1752"/>
        <w:contextualSpacing/>
        <w:jc w:val="both"/>
        <w:rPr>
          <w:rFonts w:ascii="Arial" w:hAnsi="Arial" w:cs="Arial"/>
          <w:bCs/>
          <w:iCs/>
          <w:color w:val="000000" w:themeColor="text1"/>
        </w:rPr>
      </w:pPr>
    </w:p>
    <w:p w14:paraId="07754FA3" w14:textId="092384E5" w:rsidR="00A011C3" w:rsidRPr="007F4181" w:rsidRDefault="00C2497A" w:rsidP="00647F4B">
      <w:pPr>
        <w:adjustRightInd w:val="0"/>
        <w:spacing w:line="360" w:lineRule="auto"/>
        <w:ind w:right="1752"/>
        <w:contextualSpacing/>
        <w:jc w:val="both"/>
        <w:rPr>
          <w:rFonts w:ascii="Arial" w:hAnsi="Arial" w:cs="Arial"/>
          <w:bCs/>
          <w:iCs/>
          <w:color w:val="000000" w:themeColor="text1"/>
        </w:rPr>
      </w:pPr>
      <w:r w:rsidRPr="007F4181">
        <w:rPr>
          <w:rFonts w:ascii="Arial" w:hAnsi="Arial" w:cs="Arial"/>
          <w:bCs/>
          <w:iCs/>
          <w:color w:val="000000" w:themeColor="text1"/>
        </w:rPr>
        <w:t xml:space="preserve">In der Annahme, dass die für DST maßgeblichen europäischen Märkte von den politischen Strömungen weniger tangiert werden und sich deshalb ruhiger entwickeln können, geht Keill von größeren Chancen für die Wohndachfenster-Division aus. Sie verfüge daher über ein relativ stabiles Fundament, um ihre bereits in den letzten Jahren „günstige Performance“ fortzusetzen. Bei RPS habe man insofern eine spezielle Situation, als sich hier das Geschäft auf Servicemärkte in Deutschland und der Schweiz konzentriere. Die Tatsache, dass sie von einer </w:t>
      </w:r>
      <w:r w:rsidR="00DA72CD" w:rsidRPr="007F4181">
        <w:rPr>
          <w:rFonts w:ascii="Arial" w:hAnsi="Arial" w:cs="Arial"/>
          <w:bCs/>
          <w:iCs/>
          <w:color w:val="000000" w:themeColor="text1"/>
        </w:rPr>
        <w:t>recht</w:t>
      </w:r>
      <w:r w:rsidRPr="007F4181">
        <w:rPr>
          <w:rFonts w:ascii="Arial" w:hAnsi="Arial" w:cs="Arial"/>
          <w:bCs/>
          <w:iCs/>
          <w:color w:val="000000" w:themeColor="text1"/>
        </w:rPr>
        <w:t xml:space="preserve"> kontinuierlichen Nachfrage </w:t>
      </w:r>
      <w:r w:rsidR="000F383B" w:rsidRPr="007F4181">
        <w:rPr>
          <w:rFonts w:ascii="Arial" w:hAnsi="Arial" w:cs="Arial"/>
          <w:bCs/>
          <w:iCs/>
          <w:color w:val="000000" w:themeColor="text1"/>
        </w:rPr>
        <w:t xml:space="preserve">geprägt seien, stütze </w:t>
      </w:r>
      <w:r w:rsidR="00DA72CD" w:rsidRPr="007F4181">
        <w:rPr>
          <w:rFonts w:ascii="Arial" w:hAnsi="Arial" w:cs="Arial"/>
          <w:bCs/>
          <w:iCs/>
          <w:color w:val="000000" w:themeColor="text1"/>
        </w:rPr>
        <w:t>die Aufträge für die</w:t>
      </w:r>
      <w:r w:rsidR="000F383B" w:rsidRPr="007F4181">
        <w:rPr>
          <w:rFonts w:ascii="Arial" w:hAnsi="Arial" w:cs="Arial"/>
          <w:bCs/>
          <w:iCs/>
          <w:color w:val="000000" w:themeColor="text1"/>
        </w:rPr>
        <w:t xml:space="preserve"> Nachversorgung von Fenstern und Türen.</w:t>
      </w:r>
    </w:p>
    <w:p w14:paraId="61BDDFE0" w14:textId="77777777" w:rsidR="00A011C3" w:rsidRPr="007F4181" w:rsidRDefault="00A011C3" w:rsidP="00647F4B">
      <w:pPr>
        <w:adjustRightInd w:val="0"/>
        <w:spacing w:line="360" w:lineRule="auto"/>
        <w:ind w:right="1752"/>
        <w:contextualSpacing/>
        <w:jc w:val="both"/>
        <w:rPr>
          <w:rFonts w:ascii="Arial" w:hAnsi="Arial" w:cs="Arial"/>
          <w:bCs/>
          <w:iCs/>
          <w:color w:val="000000" w:themeColor="text1"/>
        </w:rPr>
      </w:pPr>
    </w:p>
    <w:p w14:paraId="5AC6CE85" w14:textId="77777777" w:rsidR="00647F4B" w:rsidRPr="007F4181" w:rsidRDefault="00647F4B">
      <w:pPr>
        <w:rPr>
          <w:rFonts w:ascii="Arial" w:hAnsi="Arial" w:cs="Arial"/>
          <w:b/>
          <w:i/>
        </w:rPr>
      </w:pPr>
      <w:r w:rsidRPr="007F4181">
        <w:rPr>
          <w:rFonts w:ascii="Arial" w:hAnsi="Arial" w:cs="Arial"/>
          <w:b/>
          <w:i/>
        </w:rPr>
        <w:br w:type="page"/>
      </w:r>
    </w:p>
    <w:p w14:paraId="29930B07" w14:textId="1B099C88" w:rsidR="007F4FB7" w:rsidRPr="007F4181" w:rsidRDefault="007F4FB7" w:rsidP="007F4FB7">
      <w:pPr>
        <w:rPr>
          <w:rFonts w:ascii="Arial" w:hAnsi="Arial" w:cs="Arial"/>
          <w:b/>
          <w:i/>
        </w:rPr>
      </w:pPr>
      <w:r w:rsidRPr="007F4181">
        <w:rPr>
          <w:rFonts w:ascii="Arial" w:hAnsi="Arial" w:cs="Arial"/>
          <w:b/>
          <w:i/>
        </w:rPr>
        <w:lastRenderedPageBreak/>
        <w:t>Bildtexte</w:t>
      </w:r>
    </w:p>
    <w:p w14:paraId="3DAFFC3F" w14:textId="31F6116D" w:rsidR="00B74A56" w:rsidRPr="007F4181" w:rsidRDefault="00B74A56" w:rsidP="007F4FB7">
      <w:pPr>
        <w:spacing w:line="360" w:lineRule="auto"/>
        <w:ind w:right="1985"/>
        <w:rPr>
          <w:rFonts w:ascii="Arial" w:hAnsi="Arial" w:cs="Arial"/>
          <w:bCs/>
        </w:rPr>
      </w:pPr>
    </w:p>
    <w:p w14:paraId="48075FBC" w14:textId="77777777" w:rsidR="00F67CC0" w:rsidRPr="007F4181" w:rsidRDefault="00F67CC0" w:rsidP="007F4FB7">
      <w:pPr>
        <w:spacing w:line="360" w:lineRule="auto"/>
        <w:ind w:right="1985"/>
        <w:rPr>
          <w:rFonts w:ascii="Arial" w:hAnsi="Arial" w:cs="Arial"/>
          <w:bCs/>
        </w:rPr>
      </w:pPr>
    </w:p>
    <w:p w14:paraId="11AFF04D" w14:textId="364BEC08" w:rsidR="00EE74CB" w:rsidRPr="007F4181" w:rsidRDefault="00217C8C" w:rsidP="007F4FB7">
      <w:pPr>
        <w:tabs>
          <w:tab w:val="right" w:pos="6804"/>
        </w:tabs>
        <w:spacing w:line="360" w:lineRule="auto"/>
        <w:ind w:right="1985"/>
        <w:jc w:val="both"/>
        <w:rPr>
          <w:rFonts w:ascii="Arial" w:hAnsi="Arial" w:cs="Arial"/>
        </w:rPr>
      </w:pPr>
      <w:r w:rsidRPr="007F4181">
        <w:rPr>
          <w:rFonts w:ascii="Arial" w:hAnsi="Arial" w:cs="Arial"/>
          <w:noProof/>
        </w:rPr>
        <w:drawing>
          <wp:inline distT="0" distB="0" distL="0" distR="0" wp14:anchorId="19AAC2E7" wp14:editId="0AFF2FA3">
            <wp:extent cx="2872966" cy="4309449"/>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_Eckhard_Keill.jpg"/>
                    <pic:cNvPicPr/>
                  </pic:nvPicPr>
                  <pic:blipFill>
                    <a:blip r:embed="rId7"/>
                    <a:stretch>
                      <a:fillRect/>
                    </a:stretch>
                  </pic:blipFill>
                  <pic:spPr>
                    <a:xfrm>
                      <a:off x="0" y="0"/>
                      <a:ext cx="2921081" cy="4381621"/>
                    </a:xfrm>
                    <a:prstGeom prst="rect">
                      <a:avLst/>
                    </a:prstGeom>
                  </pic:spPr>
                </pic:pic>
              </a:graphicData>
            </a:graphic>
          </wp:inline>
        </w:drawing>
      </w:r>
    </w:p>
    <w:p w14:paraId="786B076E" w14:textId="77777777" w:rsidR="0089249E" w:rsidRPr="007F4181" w:rsidRDefault="0089249E" w:rsidP="007F4FB7">
      <w:pPr>
        <w:tabs>
          <w:tab w:val="right" w:pos="6804"/>
        </w:tabs>
        <w:spacing w:line="360" w:lineRule="auto"/>
        <w:ind w:right="1985"/>
        <w:jc w:val="both"/>
        <w:rPr>
          <w:rFonts w:ascii="Arial" w:hAnsi="Arial" w:cs="Arial"/>
        </w:rPr>
      </w:pPr>
    </w:p>
    <w:p w14:paraId="05E3D09D" w14:textId="1E42D899" w:rsidR="007F3B2D" w:rsidRPr="007F4181" w:rsidRDefault="003B4540" w:rsidP="007F4FB7">
      <w:pPr>
        <w:tabs>
          <w:tab w:val="right" w:pos="6804"/>
        </w:tabs>
        <w:spacing w:line="360" w:lineRule="auto"/>
        <w:ind w:right="1985"/>
        <w:jc w:val="both"/>
        <w:rPr>
          <w:rFonts w:ascii="Arial" w:hAnsi="Arial" w:cs="Arial"/>
        </w:rPr>
      </w:pPr>
      <w:r w:rsidRPr="007F4181">
        <w:rPr>
          <w:rFonts w:ascii="Arial" w:hAnsi="Arial" w:cs="Arial"/>
        </w:rPr>
        <w:t>Sieht die Wirtschaft im Würgegriff der Politik: Dr. Eckhard Keill. Als ein Hauptproblem stufte der Alleinvorstand der Roto Frank Holding AG während des 14. internationalen Fachpressetages die „</w:t>
      </w:r>
      <w:r w:rsidR="0089249E" w:rsidRPr="007F4181">
        <w:rPr>
          <w:rFonts w:ascii="Arial" w:hAnsi="Arial" w:cs="Arial"/>
        </w:rPr>
        <w:t xml:space="preserve">scheinbar unaufhaltsame Sanktionsspirale“ ein. Sie koste Wachstum, Arbeitsplätze und Einkommen. Die Entwicklung des </w:t>
      </w:r>
      <w:r w:rsidR="00C6596E" w:rsidRPr="007F4181">
        <w:rPr>
          <w:rFonts w:ascii="Arial" w:hAnsi="Arial" w:cs="Arial"/>
        </w:rPr>
        <w:t>weltweit</w:t>
      </w:r>
      <w:r w:rsidR="0089249E" w:rsidRPr="007F4181">
        <w:rPr>
          <w:rFonts w:ascii="Arial" w:hAnsi="Arial" w:cs="Arial"/>
        </w:rPr>
        <w:t xml:space="preserve"> operierenden Bauzulieferers werde dadurch ebenfalls beeinträchtigt. Dennoch schließe er 2019 voraussichtlich mit einem leichten Umsatzplus ab.</w:t>
      </w:r>
    </w:p>
    <w:p w14:paraId="4EBBC58C" w14:textId="14684486" w:rsidR="007F4FB7" w:rsidRPr="007F4181" w:rsidRDefault="007F4FB7" w:rsidP="00811C08">
      <w:pPr>
        <w:spacing w:line="360" w:lineRule="auto"/>
        <w:ind w:right="1985"/>
        <w:jc w:val="both"/>
        <w:rPr>
          <w:rFonts w:ascii="Arial" w:hAnsi="Arial" w:cs="Arial"/>
          <w:bCs/>
          <w:lang w:val="it-IT"/>
        </w:rPr>
      </w:pPr>
      <w:r w:rsidRPr="007F4181">
        <w:rPr>
          <w:rFonts w:ascii="Arial" w:eastAsia="Times" w:hAnsi="Arial" w:cs="Arial"/>
          <w:b/>
          <w:lang w:val="it-IT"/>
        </w:rPr>
        <w:t xml:space="preserve">Foto: </w:t>
      </w:r>
      <w:r w:rsidRPr="007F4181">
        <w:rPr>
          <w:rFonts w:ascii="Arial" w:eastAsia="Times" w:hAnsi="Arial" w:cs="Arial"/>
          <w:lang w:val="it-IT"/>
        </w:rPr>
        <w:t>Roto</w:t>
      </w:r>
      <w:r w:rsidRPr="007F4181">
        <w:rPr>
          <w:rFonts w:ascii="Arial" w:eastAsia="Times" w:hAnsi="Arial" w:cs="Arial"/>
          <w:b/>
          <w:lang w:val="it-IT"/>
        </w:rPr>
        <w:t xml:space="preserve"> </w:t>
      </w:r>
      <w:r w:rsidRPr="007F4181">
        <w:rPr>
          <w:rFonts w:ascii="Arial" w:eastAsia="Times" w:hAnsi="Arial" w:cs="Arial"/>
          <w:bCs/>
          <w:lang w:val="it-IT"/>
        </w:rPr>
        <w:t xml:space="preserve">/ </w:t>
      </w:r>
      <w:r w:rsidR="00647F4B" w:rsidRPr="007F4181">
        <w:rPr>
          <w:rFonts w:ascii="Arial" w:eastAsia="Times" w:hAnsi="Arial" w:cs="Arial"/>
          <w:bCs/>
          <w:lang w:val="it-IT"/>
        </w:rPr>
        <w:t>Dr_Eckhard_Keill</w:t>
      </w:r>
      <w:r w:rsidRPr="007F4181">
        <w:rPr>
          <w:rFonts w:ascii="Arial" w:eastAsia="Times" w:hAnsi="Arial" w:cs="Arial"/>
          <w:bCs/>
          <w:lang w:val="it-IT"/>
        </w:rPr>
        <w:t>.jpg</w:t>
      </w:r>
    </w:p>
    <w:p w14:paraId="2C79B0A1" w14:textId="77777777" w:rsidR="00FD11D9" w:rsidRPr="007F4181" w:rsidRDefault="00FD11D9" w:rsidP="00FD11D9">
      <w:pPr>
        <w:spacing w:line="360" w:lineRule="auto"/>
        <w:ind w:right="1985"/>
        <w:rPr>
          <w:rFonts w:ascii="Arial" w:hAnsi="Arial" w:cs="Arial"/>
          <w:bCs/>
          <w:lang w:val="it-IT"/>
        </w:rPr>
      </w:pPr>
    </w:p>
    <w:p w14:paraId="5379DA84" w14:textId="77777777" w:rsidR="00FD11D9" w:rsidRPr="007F4181" w:rsidRDefault="00FD11D9" w:rsidP="00FD11D9">
      <w:pPr>
        <w:spacing w:line="360" w:lineRule="auto"/>
        <w:ind w:right="1985"/>
        <w:jc w:val="both"/>
        <w:rPr>
          <w:rFonts w:ascii="Arial" w:hAnsi="Arial" w:cs="Arial"/>
        </w:rPr>
      </w:pPr>
      <w:r w:rsidRPr="007F4181">
        <w:rPr>
          <w:rFonts w:ascii="Arial" w:hAnsi="Arial" w:cs="Arial"/>
          <w:noProof/>
        </w:rPr>
        <w:lastRenderedPageBreak/>
        <w:drawing>
          <wp:inline distT="0" distB="0" distL="0" distR="0" wp14:anchorId="3212E67E" wp14:editId="1A214F62">
            <wp:extent cx="4324350" cy="2883063"/>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xabay_Steve_Buissinne.jpg"/>
                    <pic:cNvPicPr/>
                  </pic:nvPicPr>
                  <pic:blipFill>
                    <a:blip r:embed="rId8"/>
                    <a:stretch>
                      <a:fillRect/>
                    </a:stretch>
                  </pic:blipFill>
                  <pic:spPr>
                    <a:xfrm>
                      <a:off x="0" y="0"/>
                      <a:ext cx="4349234" cy="2899653"/>
                    </a:xfrm>
                    <a:prstGeom prst="rect">
                      <a:avLst/>
                    </a:prstGeom>
                  </pic:spPr>
                </pic:pic>
              </a:graphicData>
            </a:graphic>
          </wp:inline>
        </w:drawing>
      </w:r>
    </w:p>
    <w:p w14:paraId="1EC383AA" w14:textId="77777777" w:rsidR="0089249E" w:rsidRPr="007F4181" w:rsidRDefault="0089249E" w:rsidP="00FD11D9">
      <w:pPr>
        <w:spacing w:line="360" w:lineRule="auto"/>
        <w:ind w:right="1985"/>
        <w:jc w:val="both"/>
        <w:rPr>
          <w:rFonts w:ascii="Arial" w:hAnsi="Arial" w:cs="Arial"/>
          <w:lang w:val="en-US"/>
        </w:rPr>
      </w:pPr>
    </w:p>
    <w:p w14:paraId="04C0E57B" w14:textId="359F6915" w:rsidR="00FD11D9" w:rsidRPr="007F4181" w:rsidRDefault="0089249E" w:rsidP="00FD11D9">
      <w:pPr>
        <w:spacing w:line="360" w:lineRule="auto"/>
        <w:ind w:right="1985"/>
        <w:jc w:val="both"/>
        <w:rPr>
          <w:rFonts w:ascii="Arial" w:hAnsi="Arial" w:cs="Arial"/>
        </w:rPr>
      </w:pPr>
      <w:r w:rsidRPr="007F4181">
        <w:rPr>
          <w:rFonts w:ascii="Arial" w:hAnsi="Arial" w:cs="Arial"/>
        </w:rPr>
        <w:t>Die weltweite Flut politisch motivierter Krisenherde zwingt die Wirtschaft laut Roto in wachsendem Maße in die Knie. Unter der „schweren Hypothek“ leiden danach auch relevante Fenster- und Türenmärkte. Zwar prognostiziert der Bauzulieferer für 2020 die „Bereinigung“ einiger geopolitischer Konflikte. Das werde sich aber erst 2021 in einem besseren Konjunkturklima niederschlagen.</w:t>
      </w:r>
    </w:p>
    <w:p w14:paraId="773045E5" w14:textId="000A6176" w:rsidR="00FD11D9" w:rsidRPr="007F4181" w:rsidRDefault="00FD11D9" w:rsidP="00FD11D9">
      <w:pPr>
        <w:spacing w:line="360" w:lineRule="auto"/>
        <w:ind w:right="1985"/>
        <w:jc w:val="both"/>
        <w:rPr>
          <w:rFonts w:ascii="Arial" w:hAnsi="Arial" w:cs="Arial"/>
          <w:bCs/>
          <w:lang w:val="it-IT"/>
        </w:rPr>
      </w:pPr>
      <w:r w:rsidRPr="007F4181">
        <w:rPr>
          <w:rFonts w:ascii="Arial" w:eastAsia="Times" w:hAnsi="Arial" w:cs="Arial"/>
          <w:b/>
          <w:lang w:val="it-IT"/>
        </w:rPr>
        <w:t xml:space="preserve">Foto: </w:t>
      </w:r>
      <w:proofErr w:type="spellStart"/>
      <w:r w:rsidRPr="007F4181">
        <w:rPr>
          <w:rFonts w:ascii="Arial" w:eastAsia="Times" w:hAnsi="Arial" w:cs="Arial"/>
          <w:lang w:val="it-IT"/>
        </w:rPr>
        <w:t>Pixabay</w:t>
      </w:r>
      <w:proofErr w:type="spellEnd"/>
      <w:r w:rsidRPr="007F4181">
        <w:rPr>
          <w:rFonts w:ascii="Arial" w:eastAsia="Times" w:hAnsi="Arial" w:cs="Arial"/>
          <w:lang w:val="it-IT"/>
        </w:rPr>
        <w:t xml:space="preserve"> Steve </w:t>
      </w:r>
      <w:proofErr w:type="spellStart"/>
      <w:r w:rsidRPr="007F4181">
        <w:rPr>
          <w:rFonts w:ascii="Arial" w:eastAsia="Times" w:hAnsi="Arial" w:cs="Arial"/>
          <w:lang w:val="it-IT"/>
        </w:rPr>
        <w:t>Buissinne</w:t>
      </w:r>
      <w:proofErr w:type="spellEnd"/>
      <w:r w:rsidRPr="007F4181">
        <w:rPr>
          <w:rFonts w:ascii="Arial" w:eastAsia="Times" w:hAnsi="Arial" w:cs="Arial"/>
          <w:b/>
          <w:lang w:val="it-IT"/>
        </w:rPr>
        <w:t xml:space="preserve"> </w:t>
      </w:r>
      <w:r w:rsidRPr="007F4181">
        <w:rPr>
          <w:rFonts w:ascii="Arial" w:eastAsia="Times" w:hAnsi="Arial" w:cs="Arial"/>
          <w:bCs/>
          <w:lang w:val="it-IT"/>
        </w:rPr>
        <w:t xml:space="preserve">/ </w:t>
      </w:r>
      <w:r w:rsidR="0089249E" w:rsidRPr="007F4181">
        <w:rPr>
          <w:rFonts w:ascii="Arial" w:eastAsia="Times" w:hAnsi="Arial" w:cs="Arial"/>
          <w:bCs/>
          <w:lang w:val="it-IT"/>
        </w:rPr>
        <w:t>Taschenrechner</w:t>
      </w:r>
      <w:r w:rsidRPr="007F4181">
        <w:rPr>
          <w:rFonts w:ascii="Arial" w:eastAsia="Times" w:hAnsi="Arial" w:cs="Arial"/>
          <w:bCs/>
          <w:lang w:val="it-IT"/>
        </w:rPr>
        <w:t>.jpg</w:t>
      </w:r>
    </w:p>
    <w:p w14:paraId="11F65476" w14:textId="77777777" w:rsidR="00FD11D9" w:rsidRPr="007F4181" w:rsidRDefault="00FD11D9" w:rsidP="00FD11D9">
      <w:pPr>
        <w:spacing w:line="360" w:lineRule="auto"/>
        <w:ind w:right="1985"/>
        <w:rPr>
          <w:rFonts w:ascii="Arial" w:hAnsi="Arial" w:cs="Arial"/>
          <w:bCs/>
          <w:lang w:val="it-IT"/>
        </w:rPr>
      </w:pPr>
    </w:p>
    <w:p w14:paraId="78FB5E29" w14:textId="7F19945B" w:rsidR="00B74A56" w:rsidRPr="007F4181" w:rsidRDefault="00B74A56" w:rsidP="007F4FB7">
      <w:pPr>
        <w:spacing w:line="360" w:lineRule="auto"/>
        <w:ind w:right="1985"/>
        <w:rPr>
          <w:rFonts w:ascii="Arial" w:hAnsi="Arial" w:cs="Arial"/>
          <w:bCs/>
          <w:lang w:val="it-IT"/>
        </w:rPr>
      </w:pPr>
    </w:p>
    <w:p w14:paraId="68A3EAB2" w14:textId="64158C57" w:rsidR="00AC5E43" w:rsidRPr="007F4181" w:rsidRDefault="00217C8C" w:rsidP="00B74A56">
      <w:pPr>
        <w:spacing w:line="360" w:lineRule="auto"/>
        <w:ind w:right="1985"/>
        <w:jc w:val="both"/>
        <w:rPr>
          <w:rFonts w:ascii="Arial" w:hAnsi="Arial" w:cs="Arial"/>
        </w:rPr>
      </w:pPr>
      <w:r w:rsidRPr="007F4181">
        <w:rPr>
          <w:rFonts w:ascii="Arial" w:hAnsi="Arial" w:cs="Arial"/>
          <w:noProof/>
        </w:rPr>
        <w:lastRenderedPageBreak/>
        <w:drawing>
          <wp:inline distT="0" distB="0" distL="0" distR="0" wp14:anchorId="0991AE9E" wp14:editId="2FCF2A8F">
            <wp:extent cx="2664576" cy="4011346"/>
            <wp:effectExtent l="0" t="0" r="2540" b="190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ingang.jpg"/>
                    <pic:cNvPicPr/>
                  </pic:nvPicPr>
                  <pic:blipFill>
                    <a:blip r:embed="rId9"/>
                    <a:stretch>
                      <a:fillRect/>
                    </a:stretch>
                  </pic:blipFill>
                  <pic:spPr>
                    <a:xfrm>
                      <a:off x="0" y="0"/>
                      <a:ext cx="2706931" cy="4075108"/>
                    </a:xfrm>
                    <a:prstGeom prst="rect">
                      <a:avLst/>
                    </a:prstGeom>
                  </pic:spPr>
                </pic:pic>
              </a:graphicData>
            </a:graphic>
          </wp:inline>
        </w:drawing>
      </w:r>
    </w:p>
    <w:p w14:paraId="2FF12A6D" w14:textId="77777777" w:rsidR="00626761" w:rsidRPr="007F4181" w:rsidRDefault="00626761" w:rsidP="00B74A56">
      <w:pPr>
        <w:spacing w:line="360" w:lineRule="auto"/>
        <w:ind w:right="1985"/>
        <w:jc w:val="both"/>
        <w:rPr>
          <w:rFonts w:ascii="Arial" w:hAnsi="Arial" w:cs="Arial"/>
        </w:rPr>
      </w:pPr>
    </w:p>
    <w:p w14:paraId="591287B2" w14:textId="7766705A" w:rsidR="0067619F" w:rsidRPr="007F4181" w:rsidRDefault="0067619F" w:rsidP="00B74A56">
      <w:pPr>
        <w:spacing w:line="360" w:lineRule="auto"/>
        <w:ind w:right="1985"/>
        <w:jc w:val="both"/>
        <w:rPr>
          <w:rFonts w:ascii="Arial" w:hAnsi="Arial" w:cs="Arial"/>
        </w:rPr>
      </w:pPr>
      <w:r w:rsidRPr="007F4181">
        <w:rPr>
          <w:rFonts w:ascii="Arial" w:hAnsi="Arial" w:cs="Arial"/>
        </w:rPr>
        <w:t>Obwohl die Roto</w:t>
      </w:r>
      <w:r w:rsidR="002A13A0" w:rsidRPr="007F4181">
        <w:rPr>
          <w:rFonts w:ascii="Arial" w:hAnsi="Arial" w:cs="Arial"/>
        </w:rPr>
        <w:t>-</w:t>
      </w:r>
      <w:r w:rsidRPr="007F4181">
        <w:rPr>
          <w:rFonts w:ascii="Arial" w:hAnsi="Arial" w:cs="Arial"/>
        </w:rPr>
        <w:t>Gruppe die Wahrscheinlichkeit eines globalen Konjunktureinbruchs 2020 hoch einschätzt, w</w:t>
      </w:r>
      <w:r w:rsidR="002A13A0" w:rsidRPr="007F4181">
        <w:rPr>
          <w:rFonts w:ascii="Arial" w:hAnsi="Arial" w:cs="Arial"/>
        </w:rPr>
        <w:t>oll</w:t>
      </w:r>
      <w:r w:rsidRPr="007F4181">
        <w:rPr>
          <w:rFonts w:ascii="Arial" w:hAnsi="Arial" w:cs="Arial"/>
        </w:rPr>
        <w:t>e und werde sie sich soweit möglich dem allgemeinen Negativtrend entziehen. Die angestrebte positive Firmenkonjunktur soll zu einem unteren einstelligen Umsatzwachstum und einer verbesserten Ertragskraft führen, hieß es Mitte November 2019 während des 14. internationalen Fachpres</w:t>
      </w:r>
      <w:r w:rsidR="002A13A0" w:rsidRPr="007F4181">
        <w:rPr>
          <w:rFonts w:ascii="Arial" w:hAnsi="Arial" w:cs="Arial"/>
        </w:rPr>
        <w:t>s</w:t>
      </w:r>
      <w:r w:rsidRPr="007F4181">
        <w:rPr>
          <w:rFonts w:ascii="Arial" w:hAnsi="Arial" w:cs="Arial"/>
        </w:rPr>
        <w:t>etages.</w:t>
      </w:r>
    </w:p>
    <w:p w14:paraId="5E784EF5" w14:textId="012BF893" w:rsidR="00142B62" w:rsidRPr="007F4181" w:rsidRDefault="00B74A56" w:rsidP="00B74A56">
      <w:pPr>
        <w:spacing w:line="360" w:lineRule="auto"/>
        <w:ind w:right="1985"/>
        <w:jc w:val="both"/>
        <w:rPr>
          <w:rFonts w:ascii="Arial" w:eastAsia="Times" w:hAnsi="Arial" w:cs="Arial"/>
          <w:bCs/>
          <w:lang w:val="it-IT"/>
        </w:rPr>
      </w:pPr>
      <w:r w:rsidRPr="007F4181">
        <w:rPr>
          <w:rFonts w:ascii="Arial" w:eastAsia="Times" w:hAnsi="Arial" w:cs="Arial"/>
          <w:b/>
          <w:lang w:val="it-IT"/>
        </w:rPr>
        <w:t xml:space="preserve">Foto: </w:t>
      </w:r>
      <w:r w:rsidR="00647F4B" w:rsidRPr="007F4181">
        <w:rPr>
          <w:rFonts w:ascii="Arial" w:eastAsia="Times" w:hAnsi="Arial" w:cs="Arial"/>
          <w:lang w:val="it-IT"/>
        </w:rPr>
        <w:t>Roto</w:t>
      </w:r>
      <w:r w:rsidRPr="007F4181">
        <w:rPr>
          <w:rFonts w:ascii="Arial" w:eastAsia="Times" w:hAnsi="Arial" w:cs="Arial"/>
          <w:b/>
          <w:lang w:val="it-IT"/>
        </w:rPr>
        <w:t xml:space="preserve"> </w:t>
      </w:r>
      <w:r w:rsidRPr="007F4181">
        <w:rPr>
          <w:rFonts w:ascii="Arial" w:eastAsia="Times" w:hAnsi="Arial" w:cs="Arial"/>
          <w:bCs/>
          <w:lang w:val="it-IT"/>
        </w:rPr>
        <w:t xml:space="preserve">/ </w:t>
      </w:r>
      <w:r w:rsidR="00647F4B" w:rsidRPr="007F4181">
        <w:rPr>
          <w:rFonts w:ascii="Arial" w:eastAsia="Times" w:hAnsi="Arial" w:cs="Arial"/>
          <w:bCs/>
          <w:lang w:val="it-IT"/>
        </w:rPr>
        <w:t>Eingang</w:t>
      </w:r>
      <w:r w:rsidRPr="007F4181">
        <w:rPr>
          <w:rFonts w:ascii="Arial" w:eastAsia="Times" w:hAnsi="Arial" w:cs="Arial"/>
          <w:bCs/>
          <w:lang w:val="it-IT"/>
        </w:rPr>
        <w:t>.jpg</w:t>
      </w:r>
    </w:p>
    <w:p w14:paraId="2338FEDA" w14:textId="77777777" w:rsidR="00BD5040" w:rsidRPr="007F4181" w:rsidRDefault="00BD5040" w:rsidP="00BD5040">
      <w:pPr>
        <w:ind w:right="1752"/>
        <w:jc w:val="both"/>
        <w:rPr>
          <w:rFonts w:ascii="Arial" w:hAnsi="Arial" w:cs="Arial"/>
        </w:rPr>
      </w:pPr>
    </w:p>
    <w:p w14:paraId="394B22BE" w14:textId="77777777" w:rsidR="00BD5040" w:rsidRDefault="00BD5040" w:rsidP="00BD5040">
      <w:pPr>
        <w:ind w:right="1752"/>
        <w:jc w:val="both"/>
        <w:rPr>
          <w:rFonts w:ascii="Arial" w:hAnsi="Arial" w:cs="Arial"/>
        </w:rPr>
      </w:pPr>
    </w:p>
    <w:p w14:paraId="6297755F" w14:textId="77777777" w:rsidR="007F4FB7" w:rsidRPr="007A1EEB" w:rsidRDefault="007F4FB7" w:rsidP="00BD5040">
      <w:pPr>
        <w:ind w:right="1752"/>
        <w:jc w:val="both"/>
        <w:rPr>
          <w:rFonts w:ascii="Arial" w:hAnsi="Arial" w:cs="Arial"/>
          <w:sz w:val="17"/>
          <w:szCs w:val="17"/>
        </w:rPr>
      </w:pPr>
      <w:r w:rsidRPr="007A1EEB">
        <w:rPr>
          <w:rFonts w:ascii="Arial" w:hAnsi="Arial" w:cs="Arial"/>
          <w:sz w:val="17"/>
          <w:szCs w:val="17"/>
        </w:rPr>
        <w:t xml:space="preserve">Abdruck </w:t>
      </w:r>
      <w:proofErr w:type="gramStart"/>
      <w:r w:rsidRPr="007A1EEB">
        <w:rPr>
          <w:rFonts w:ascii="Arial" w:hAnsi="Arial" w:cs="Arial"/>
          <w:sz w:val="17"/>
          <w:szCs w:val="17"/>
        </w:rPr>
        <w:t>frei</w:t>
      </w:r>
      <w:proofErr w:type="gramEnd"/>
      <w:r w:rsidRPr="007A1EEB">
        <w:rPr>
          <w:rFonts w:ascii="Arial" w:hAnsi="Arial" w:cs="Arial"/>
          <w:sz w:val="17"/>
          <w:szCs w:val="17"/>
        </w:rPr>
        <w:t xml:space="preserve"> - Beleg erbeten</w:t>
      </w:r>
    </w:p>
    <w:p w14:paraId="677EAD3A" w14:textId="128093D7" w:rsidR="007F4FB7" w:rsidRPr="007A1EEB" w:rsidRDefault="007F4FB7" w:rsidP="00BD5040">
      <w:pPr>
        <w:ind w:right="1751"/>
        <w:jc w:val="both"/>
        <w:rPr>
          <w:rFonts w:ascii="Arial" w:hAnsi="Arial" w:cs="Arial"/>
          <w:sz w:val="17"/>
          <w:szCs w:val="17"/>
        </w:rPr>
      </w:pPr>
    </w:p>
    <w:p w14:paraId="69B45726" w14:textId="77777777" w:rsidR="00BD5040" w:rsidRPr="007A1EEB" w:rsidRDefault="00BD5040" w:rsidP="00BD5040">
      <w:pPr>
        <w:ind w:right="1751"/>
        <w:jc w:val="both"/>
        <w:rPr>
          <w:rFonts w:ascii="Arial" w:hAnsi="Arial" w:cs="Arial"/>
          <w:sz w:val="17"/>
          <w:szCs w:val="17"/>
        </w:rPr>
      </w:pPr>
    </w:p>
    <w:p w14:paraId="01C8839C" w14:textId="6D703680" w:rsidR="007F4FB7" w:rsidRPr="007A1EEB" w:rsidRDefault="007F4FB7" w:rsidP="00BD5040">
      <w:pPr>
        <w:ind w:right="1982"/>
        <w:jc w:val="both"/>
        <w:rPr>
          <w:rFonts w:ascii="Arial" w:hAnsi="Arial" w:cs="Arial"/>
          <w:sz w:val="17"/>
          <w:szCs w:val="17"/>
        </w:rPr>
      </w:pPr>
      <w:r w:rsidRPr="007A1EEB">
        <w:rPr>
          <w:rFonts w:ascii="Arial" w:hAnsi="Arial" w:cs="Arial"/>
          <w:sz w:val="17"/>
          <w:szCs w:val="17"/>
        </w:rPr>
        <w:t>Texte und Fotos sind als Word- bzw. JPEG-Dateien auf dem Pressemappen-Stick enthalten. Alternativ stehen sie zum Download unter:</w:t>
      </w:r>
    </w:p>
    <w:p w14:paraId="04E10E41" w14:textId="48EC8F42" w:rsidR="007F4FB7" w:rsidRPr="007A1EEB" w:rsidRDefault="007F4FB7" w:rsidP="00BD5040">
      <w:pPr>
        <w:ind w:right="1982"/>
        <w:jc w:val="both"/>
        <w:rPr>
          <w:rFonts w:ascii="Arial" w:hAnsi="Arial" w:cs="Arial"/>
          <w:sz w:val="17"/>
          <w:szCs w:val="17"/>
        </w:rPr>
      </w:pPr>
      <w:r w:rsidRPr="007A1EEB">
        <w:rPr>
          <w:rFonts w:ascii="Arial" w:hAnsi="Arial" w:cs="Arial"/>
          <w:sz w:val="17"/>
          <w:szCs w:val="17"/>
        </w:rPr>
        <w:t>https://ftt.roto-frank.com/de/presse/pressemitteilungen/</w:t>
      </w:r>
    </w:p>
    <w:p w14:paraId="046D9C9E" w14:textId="468047E9" w:rsidR="007F4FB7" w:rsidRPr="007A1EEB" w:rsidRDefault="007F4FB7" w:rsidP="00BD5040">
      <w:pPr>
        <w:ind w:right="1752"/>
        <w:jc w:val="both"/>
        <w:rPr>
          <w:rFonts w:ascii="Arial" w:hAnsi="Arial" w:cs="Arial"/>
          <w:bCs/>
          <w:sz w:val="17"/>
          <w:szCs w:val="17"/>
        </w:rPr>
      </w:pPr>
    </w:p>
    <w:p w14:paraId="4253A031" w14:textId="77777777" w:rsidR="00BD5040" w:rsidRPr="007A1EEB" w:rsidRDefault="00BD5040" w:rsidP="00BD5040">
      <w:pPr>
        <w:ind w:right="1752"/>
        <w:jc w:val="both"/>
        <w:rPr>
          <w:rFonts w:ascii="Arial" w:hAnsi="Arial" w:cs="Arial"/>
          <w:bCs/>
          <w:sz w:val="17"/>
          <w:szCs w:val="17"/>
        </w:rPr>
      </w:pPr>
    </w:p>
    <w:p w14:paraId="7C1DFB91" w14:textId="72A155DB" w:rsidR="007F4FB7" w:rsidRPr="007A1EEB" w:rsidRDefault="00E63FE7" w:rsidP="00BD5040">
      <w:pPr>
        <w:ind w:right="1751"/>
        <w:jc w:val="both"/>
        <w:rPr>
          <w:rFonts w:ascii="Arial" w:hAnsi="Arial" w:cs="Arial"/>
          <w:sz w:val="17"/>
          <w:szCs w:val="17"/>
        </w:rPr>
      </w:pPr>
      <w:r w:rsidRPr="007A1EEB">
        <w:rPr>
          <w:rFonts w:ascii="Arial" w:hAnsi="Arial" w:cs="Arial"/>
          <w:b/>
          <w:sz w:val="17"/>
          <w:szCs w:val="17"/>
        </w:rPr>
        <w:t xml:space="preserve">Herausgeber: </w:t>
      </w:r>
      <w:r w:rsidR="006F3038" w:rsidRPr="007A1EEB">
        <w:rPr>
          <w:rFonts w:ascii="Arial" w:hAnsi="Arial" w:cs="Arial"/>
          <w:sz w:val="17"/>
          <w:szCs w:val="17"/>
        </w:rPr>
        <w:t xml:space="preserve">Roto Frank </w:t>
      </w:r>
      <w:r w:rsidR="00647F4B" w:rsidRPr="007A1EEB">
        <w:rPr>
          <w:rFonts w:ascii="Arial" w:hAnsi="Arial" w:cs="Arial"/>
          <w:sz w:val="17"/>
          <w:szCs w:val="17"/>
        </w:rPr>
        <w:t>Holding AG</w:t>
      </w:r>
      <w:r w:rsidR="006F3038" w:rsidRPr="007A1EEB">
        <w:rPr>
          <w:rFonts w:ascii="Arial" w:hAnsi="Arial" w:cs="Arial"/>
          <w:sz w:val="17"/>
          <w:szCs w:val="17"/>
        </w:rPr>
        <w:t xml:space="preserve"> • Wilhelm-Frank-Platz 1 • 70771 Leinfelden-Echterdingen • Tel. +49 711 7598 0 • Fax +49 711 7598 253 • info@roto-frank.com</w:t>
      </w:r>
    </w:p>
    <w:p w14:paraId="75BE389E" w14:textId="5BB90584" w:rsidR="007F4FB7" w:rsidRPr="007A1EEB" w:rsidRDefault="007F4FB7" w:rsidP="00BD5040">
      <w:pPr>
        <w:ind w:right="1751"/>
        <w:jc w:val="both"/>
        <w:rPr>
          <w:rFonts w:ascii="Arial" w:hAnsi="Arial" w:cs="Arial"/>
          <w:b/>
          <w:sz w:val="17"/>
          <w:szCs w:val="17"/>
        </w:rPr>
      </w:pPr>
      <w:r w:rsidRPr="007A1EEB">
        <w:rPr>
          <w:rFonts w:ascii="Arial" w:hAnsi="Arial" w:cs="Arial"/>
          <w:b/>
          <w:sz w:val="17"/>
          <w:szCs w:val="17"/>
        </w:rPr>
        <w:t xml:space="preserve">Redaktion: </w:t>
      </w:r>
      <w:r w:rsidRPr="007A1EEB">
        <w:rPr>
          <w:rFonts w:ascii="Arial" w:hAnsi="Arial" w:cs="Arial"/>
          <w:sz w:val="17"/>
          <w:szCs w:val="17"/>
        </w:rPr>
        <w:t>Linnigpublic Agentur für Öffentlichkeitsarbeit GmbH • Büro Koblenz • Fritz-von-Unruh-Straße 1 • 56077 Koblenz • Tel. +49 261 303839 0 • Fax +49 261 303839 1 • koblenz@linnigpublic.de; Büro Hamburg • Flottbeker Drift 4 • 22607 Hamburg • Tel. +49 40 82278216 • hamburg@linnigpublic.de</w:t>
      </w:r>
    </w:p>
    <w:sectPr w:rsidR="007F4FB7" w:rsidRPr="007A1EEB">
      <w:headerReference w:type="default" r:id="rId10"/>
      <w:footerReference w:type="even" r:id="rId11"/>
      <w:footerReference w:type="default" r:id="rId12"/>
      <w:pgSz w:w="11906" w:h="16838"/>
      <w:pgMar w:top="2041" w:right="1644" w:bottom="1418" w:left="1423"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1D8184" w14:textId="77777777" w:rsidR="00764C54" w:rsidRDefault="00764C54">
      <w:r>
        <w:separator/>
      </w:r>
    </w:p>
  </w:endnote>
  <w:endnote w:type="continuationSeparator" w:id="0">
    <w:p w14:paraId="1EA14DF8" w14:textId="77777777" w:rsidR="00764C54" w:rsidRDefault="00764C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LTUnivers 330 BasicLight">
    <w:altName w:val="Microsoft Himalaya"/>
    <w:panose1 w:val="02000300000000000000"/>
    <w:charset w:val="00"/>
    <w:family w:val="auto"/>
    <w:pitch w:val="variable"/>
    <w:sig w:usb0="80000027" w:usb1="00000040" w:usb2="0000004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BA2564" w14:textId="77777777" w:rsidR="000B2D62" w:rsidRDefault="000B2D62">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423938EE" w14:textId="77777777" w:rsidR="000B2D62" w:rsidRDefault="000B2D62">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2A9569" w14:textId="77777777" w:rsidR="000B2D62" w:rsidRPr="00DC39B9" w:rsidRDefault="000B2D62" w:rsidP="008E606D">
    <w:pPr>
      <w:pStyle w:val="Fuzeile"/>
      <w:ind w:right="-1084"/>
      <w:jc w:val="right"/>
      <w:rPr>
        <w:rFonts w:ascii="LTUnivers 330 BasicLight" w:hAnsi="LTUnivers 330 BasicLight" w:cs="LTUnivers 330 BasicLight"/>
      </w:rPr>
    </w:pPr>
    <w:r w:rsidRPr="00DC39B9">
      <w:rPr>
        <w:rFonts w:ascii="LTUnivers 330 BasicLight" w:hAnsi="LTUnivers 330 BasicLight" w:cs="LTUnivers 330 BasicLight"/>
        <w:sz w:val="18"/>
      </w:rPr>
      <w:t xml:space="preserve">Seite </w:t>
    </w:r>
    <w:r w:rsidRPr="00DC39B9">
      <w:rPr>
        <w:rStyle w:val="Seitenzahl"/>
        <w:rFonts w:ascii="LTUnivers 330 BasicLight" w:hAnsi="LTUnivers 330 BasicLight" w:cs="LTUnivers 330 BasicLight"/>
        <w:sz w:val="18"/>
      </w:rPr>
      <w:fldChar w:fldCharType="begin"/>
    </w:r>
    <w:r w:rsidRPr="00DC39B9">
      <w:rPr>
        <w:rStyle w:val="Seitenzahl"/>
        <w:rFonts w:ascii="LTUnivers 330 BasicLight" w:hAnsi="LTUnivers 330 BasicLight" w:cs="LTUnivers 330 BasicLight"/>
        <w:sz w:val="18"/>
      </w:rPr>
      <w:instrText xml:space="preserve"> PAGE </w:instrText>
    </w:r>
    <w:r w:rsidRPr="00DC39B9">
      <w:rPr>
        <w:rStyle w:val="Seitenzahl"/>
        <w:rFonts w:ascii="LTUnivers 330 BasicLight" w:hAnsi="LTUnivers 330 BasicLight" w:cs="LTUnivers 330 BasicLight"/>
        <w:sz w:val="18"/>
      </w:rPr>
      <w:fldChar w:fldCharType="separate"/>
    </w:r>
    <w:r w:rsidR="007A1EEB">
      <w:rPr>
        <w:rStyle w:val="Seitenzahl"/>
        <w:rFonts w:ascii="LTUnivers 330 BasicLight" w:hAnsi="LTUnivers 330 BasicLight" w:cs="LTUnivers 330 BasicLight"/>
        <w:noProof/>
        <w:sz w:val="18"/>
      </w:rPr>
      <w:t>2</w:t>
    </w:r>
    <w:r w:rsidRPr="00DC39B9">
      <w:rPr>
        <w:rStyle w:val="Seitenzahl"/>
        <w:rFonts w:ascii="LTUnivers 330 BasicLight" w:hAnsi="LTUnivers 330 BasicLight" w:cs="LTUnivers 330 BasicLight"/>
        <w:sz w:val="18"/>
      </w:rPr>
      <w:fldChar w:fldCharType="end"/>
    </w:r>
    <w:r w:rsidRPr="00DC39B9">
      <w:rPr>
        <w:rStyle w:val="Seitenzahl"/>
        <w:rFonts w:ascii="LTUnivers 330 BasicLight" w:hAnsi="LTUnivers 330 BasicLight" w:cs="LTUnivers 330 BasicLight"/>
        <w:sz w:val="18"/>
      </w:rPr>
      <w:t>/</w:t>
    </w:r>
    <w:r w:rsidRPr="00DC39B9">
      <w:rPr>
        <w:rStyle w:val="Seitenzahl"/>
        <w:rFonts w:ascii="LTUnivers 330 BasicLight" w:hAnsi="LTUnivers 330 BasicLight" w:cs="LTUnivers 330 BasicLight"/>
        <w:sz w:val="18"/>
      </w:rPr>
      <w:fldChar w:fldCharType="begin"/>
    </w:r>
    <w:r w:rsidRPr="00DC39B9">
      <w:rPr>
        <w:rStyle w:val="Seitenzahl"/>
        <w:rFonts w:ascii="LTUnivers 330 BasicLight" w:hAnsi="LTUnivers 330 BasicLight" w:cs="LTUnivers 330 BasicLight"/>
        <w:sz w:val="18"/>
      </w:rPr>
      <w:instrText xml:space="preserve"> NUMPAGES </w:instrText>
    </w:r>
    <w:r w:rsidRPr="00DC39B9">
      <w:rPr>
        <w:rStyle w:val="Seitenzahl"/>
        <w:rFonts w:ascii="LTUnivers 330 BasicLight" w:hAnsi="LTUnivers 330 BasicLight" w:cs="LTUnivers 330 BasicLight"/>
        <w:sz w:val="18"/>
      </w:rPr>
      <w:fldChar w:fldCharType="separate"/>
    </w:r>
    <w:r w:rsidR="007A1EEB">
      <w:rPr>
        <w:rStyle w:val="Seitenzahl"/>
        <w:rFonts w:ascii="LTUnivers 330 BasicLight" w:hAnsi="LTUnivers 330 BasicLight" w:cs="LTUnivers 330 BasicLight"/>
        <w:noProof/>
        <w:sz w:val="18"/>
      </w:rPr>
      <w:t>8</w:t>
    </w:r>
    <w:r w:rsidRPr="00DC39B9">
      <w:rPr>
        <w:rStyle w:val="Seitenzahl"/>
        <w:rFonts w:ascii="LTUnivers 330 BasicLight" w:hAnsi="LTUnivers 330 BasicLight" w:cs="LTUnivers 330 BasicLight"/>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C0EC2C" w14:textId="77777777" w:rsidR="00764C54" w:rsidRDefault="00764C54">
      <w:r>
        <w:separator/>
      </w:r>
    </w:p>
  </w:footnote>
  <w:footnote w:type="continuationSeparator" w:id="0">
    <w:p w14:paraId="5500AB26" w14:textId="77777777" w:rsidR="00764C54" w:rsidRDefault="00764C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EA6F3A" w14:textId="63E5C597" w:rsidR="000B2D62" w:rsidRDefault="000B2D62">
    <w:pPr>
      <w:pStyle w:val="Kopfzeile"/>
    </w:pPr>
    <w:r>
      <w:tab/>
    </w:r>
    <w:r w:rsidR="00147FD1">
      <w:rPr>
        <w:noProof/>
      </w:rPr>
      <w:drawing>
        <wp:anchor distT="0" distB="0" distL="114300" distR="114300" simplePos="0" relativeHeight="251658240" behindDoc="1" locked="0" layoutInCell="1" allowOverlap="1" wp14:anchorId="633780C9" wp14:editId="15F27BC1">
          <wp:simplePos x="0" y="0"/>
          <wp:positionH relativeFrom="column">
            <wp:posOffset>4205605</wp:posOffset>
          </wp:positionH>
          <wp:positionV relativeFrom="page">
            <wp:posOffset>447040</wp:posOffset>
          </wp:positionV>
          <wp:extent cx="1573200" cy="370800"/>
          <wp:effectExtent l="0" t="0" r="0" b="0"/>
          <wp:wrapThrough wrapText="bothSides">
            <wp:wrapPolygon edited="0">
              <wp:start x="0" y="0"/>
              <wp:lineTo x="0" y="20007"/>
              <wp:lineTo x="21190" y="20007"/>
              <wp:lineTo x="21190" y="0"/>
              <wp:lineTo x="0"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3200" cy="370800"/>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9"/>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3BE2"/>
    <w:rsid w:val="00010ED1"/>
    <w:rsid w:val="00011A7E"/>
    <w:rsid w:val="00020BDA"/>
    <w:rsid w:val="000212A7"/>
    <w:rsid w:val="00025A58"/>
    <w:rsid w:val="00044CE0"/>
    <w:rsid w:val="0005375D"/>
    <w:rsid w:val="00054729"/>
    <w:rsid w:val="0006239A"/>
    <w:rsid w:val="000823CD"/>
    <w:rsid w:val="00082420"/>
    <w:rsid w:val="000848EA"/>
    <w:rsid w:val="00086672"/>
    <w:rsid w:val="0008735B"/>
    <w:rsid w:val="00090F89"/>
    <w:rsid w:val="00096590"/>
    <w:rsid w:val="000A3BE9"/>
    <w:rsid w:val="000A4126"/>
    <w:rsid w:val="000A7882"/>
    <w:rsid w:val="000B0FC2"/>
    <w:rsid w:val="000B1786"/>
    <w:rsid w:val="000B2112"/>
    <w:rsid w:val="000B2D62"/>
    <w:rsid w:val="000B48CE"/>
    <w:rsid w:val="000B6A41"/>
    <w:rsid w:val="000C55A5"/>
    <w:rsid w:val="000D5A4B"/>
    <w:rsid w:val="000D7F84"/>
    <w:rsid w:val="000E57F0"/>
    <w:rsid w:val="000E5883"/>
    <w:rsid w:val="000F383B"/>
    <w:rsid w:val="000F4EC4"/>
    <w:rsid w:val="001009A2"/>
    <w:rsid w:val="00100F27"/>
    <w:rsid w:val="001062CC"/>
    <w:rsid w:val="00110811"/>
    <w:rsid w:val="001141FD"/>
    <w:rsid w:val="001148A2"/>
    <w:rsid w:val="001158CB"/>
    <w:rsid w:val="0011794F"/>
    <w:rsid w:val="00123376"/>
    <w:rsid w:val="0013407B"/>
    <w:rsid w:val="00142B62"/>
    <w:rsid w:val="00142F4A"/>
    <w:rsid w:val="001467CE"/>
    <w:rsid w:val="0014702F"/>
    <w:rsid w:val="00147FD1"/>
    <w:rsid w:val="00154714"/>
    <w:rsid w:val="001616EA"/>
    <w:rsid w:val="00161AFB"/>
    <w:rsid w:val="00167360"/>
    <w:rsid w:val="001732D7"/>
    <w:rsid w:val="00173DF8"/>
    <w:rsid w:val="00184B8A"/>
    <w:rsid w:val="00185105"/>
    <w:rsid w:val="001A4B56"/>
    <w:rsid w:val="001B248A"/>
    <w:rsid w:val="001B2730"/>
    <w:rsid w:val="001B3DFC"/>
    <w:rsid w:val="001B541C"/>
    <w:rsid w:val="001C18CA"/>
    <w:rsid w:val="001C1ECB"/>
    <w:rsid w:val="001C26D4"/>
    <w:rsid w:val="001D072A"/>
    <w:rsid w:val="001D3630"/>
    <w:rsid w:val="001D47FB"/>
    <w:rsid w:val="001D6ABF"/>
    <w:rsid w:val="001E065E"/>
    <w:rsid w:val="001E0C94"/>
    <w:rsid w:val="001E62A2"/>
    <w:rsid w:val="001F7CD7"/>
    <w:rsid w:val="00204AD9"/>
    <w:rsid w:val="00210F4F"/>
    <w:rsid w:val="00216A90"/>
    <w:rsid w:val="002170B8"/>
    <w:rsid w:val="002176C3"/>
    <w:rsid w:val="00217C8C"/>
    <w:rsid w:val="002279C4"/>
    <w:rsid w:val="00230D1B"/>
    <w:rsid w:val="00231081"/>
    <w:rsid w:val="0023652D"/>
    <w:rsid w:val="00236661"/>
    <w:rsid w:val="00243A22"/>
    <w:rsid w:val="00247B4C"/>
    <w:rsid w:val="00252931"/>
    <w:rsid w:val="002548C8"/>
    <w:rsid w:val="00255FDD"/>
    <w:rsid w:val="00256EE1"/>
    <w:rsid w:val="00260CC9"/>
    <w:rsid w:val="00265512"/>
    <w:rsid w:val="00266A1B"/>
    <w:rsid w:val="00283BE0"/>
    <w:rsid w:val="00284364"/>
    <w:rsid w:val="002937C3"/>
    <w:rsid w:val="002A1251"/>
    <w:rsid w:val="002A13A0"/>
    <w:rsid w:val="002A24BC"/>
    <w:rsid w:val="002A3DB7"/>
    <w:rsid w:val="002B3993"/>
    <w:rsid w:val="002C0D90"/>
    <w:rsid w:val="002C4780"/>
    <w:rsid w:val="002C4AEF"/>
    <w:rsid w:val="002C654A"/>
    <w:rsid w:val="002D3985"/>
    <w:rsid w:val="002D6573"/>
    <w:rsid w:val="002E2D55"/>
    <w:rsid w:val="002F4320"/>
    <w:rsid w:val="002F5D47"/>
    <w:rsid w:val="00336C0B"/>
    <w:rsid w:val="0034786C"/>
    <w:rsid w:val="00354A84"/>
    <w:rsid w:val="003705F3"/>
    <w:rsid w:val="0037108A"/>
    <w:rsid w:val="0038404F"/>
    <w:rsid w:val="00384649"/>
    <w:rsid w:val="003972BC"/>
    <w:rsid w:val="003A2CEE"/>
    <w:rsid w:val="003B4540"/>
    <w:rsid w:val="003B48FC"/>
    <w:rsid w:val="003C70C6"/>
    <w:rsid w:val="003D4502"/>
    <w:rsid w:val="003E0FBF"/>
    <w:rsid w:val="003E2442"/>
    <w:rsid w:val="003E2BF0"/>
    <w:rsid w:val="003F5F4B"/>
    <w:rsid w:val="004023D3"/>
    <w:rsid w:val="004049A6"/>
    <w:rsid w:val="004173BB"/>
    <w:rsid w:val="00421A9C"/>
    <w:rsid w:val="004229CF"/>
    <w:rsid w:val="00437C44"/>
    <w:rsid w:val="004433A2"/>
    <w:rsid w:val="004444F3"/>
    <w:rsid w:val="00444F43"/>
    <w:rsid w:val="00446227"/>
    <w:rsid w:val="00447108"/>
    <w:rsid w:val="00452A39"/>
    <w:rsid w:val="00457D4D"/>
    <w:rsid w:val="0047320E"/>
    <w:rsid w:val="00492100"/>
    <w:rsid w:val="004B31EA"/>
    <w:rsid w:val="004B4090"/>
    <w:rsid w:val="004B6A92"/>
    <w:rsid w:val="004D1022"/>
    <w:rsid w:val="004D56A8"/>
    <w:rsid w:val="004D64C1"/>
    <w:rsid w:val="004E0B66"/>
    <w:rsid w:val="004E47DC"/>
    <w:rsid w:val="004E5607"/>
    <w:rsid w:val="004E58FD"/>
    <w:rsid w:val="004E5CC4"/>
    <w:rsid w:val="004F02F3"/>
    <w:rsid w:val="004F50C6"/>
    <w:rsid w:val="00502704"/>
    <w:rsid w:val="005057B9"/>
    <w:rsid w:val="00506055"/>
    <w:rsid w:val="005131EE"/>
    <w:rsid w:val="00514D20"/>
    <w:rsid w:val="0052245C"/>
    <w:rsid w:val="00535328"/>
    <w:rsid w:val="00535E95"/>
    <w:rsid w:val="00537EB7"/>
    <w:rsid w:val="0054398E"/>
    <w:rsid w:val="005464E9"/>
    <w:rsid w:val="00547DBA"/>
    <w:rsid w:val="00555CB3"/>
    <w:rsid w:val="005761D1"/>
    <w:rsid w:val="00580799"/>
    <w:rsid w:val="005913D9"/>
    <w:rsid w:val="0059195B"/>
    <w:rsid w:val="0059534E"/>
    <w:rsid w:val="005A0995"/>
    <w:rsid w:val="005B1E45"/>
    <w:rsid w:val="005B599E"/>
    <w:rsid w:val="005B60D7"/>
    <w:rsid w:val="005C593B"/>
    <w:rsid w:val="005D6172"/>
    <w:rsid w:val="005E2623"/>
    <w:rsid w:val="005E7060"/>
    <w:rsid w:val="005F00DA"/>
    <w:rsid w:val="00601297"/>
    <w:rsid w:val="006014ED"/>
    <w:rsid w:val="00604C27"/>
    <w:rsid w:val="00606F47"/>
    <w:rsid w:val="00615950"/>
    <w:rsid w:val="00626761"/>
    <w:rsid w:val="0062723E"/>
    <w:rsid w:val="00630C9C"/>
    <w:rsid w:val="006356B3"/>
    <w:rsid w:val="0063795C"/>
    <w:rsid w:val="00640901"/>
    <w:rsid w:val="00647F4B"/>
    <w:rsid w:val="006547B8"/>
    <w:rsid w:val="006649C5"/>
    <w:rsid w:val="00664F92"/>
    <w:rsid w:val="006671CC"/>
    <w:rsid w:val="006716AA"/>
    <w:rsid w:val="00673EB3"/>
    <w:rsid w:val="0067489F"/>
    <w:rsid w:val="0067619F"/>
    <w:rsid w:val="00676928"/>
    <w:rsid w:val="00680639"/>
    <w:rsid w:val="00691635"/>
    <w:rsid w:val="00692273"/>
    <w:rsid w:val="00694488"/>
    <w:rsid w:val="006968A1"/>
    <w:rsid w:val="006A75C5"/>
    <w:rsid w:val="006C2AC2"/>
    <w:rsid w:val="006D0402"/>
    <w:rsid w:val="006D7CC3"/>
    <w:rsid w:val="006E6E5A"/>
    <w:rsid w:val="006F21CD"/>
    <w:rsid w:val="006F2BA0"/>
    <w:rsid w:val="006F3038"/>
    <w:rsid w:val="006F5B3E"/>
    <w:rsid w:val="00701197"/>
    <w:rsid w:val="0070290B"/>
    <w:rsid w:val="00702FEF"/>
    <w:rsid w:val="00707493"/>
    <w:rsid w:val="00710A97"/>
    <w:rsid w:val="00711A0B"/>
    <w:rsid w:val="00711C31"/>
    <w:rsid w:val="00717067"/>
    <w:rsid w:val="00722F56"/>
    <w:rsid w:val="007232B5"/>
    <w:rsid w:val="00725DDB"/>
    <w:rsid w:val="00734E10"/>
    <w:rsid w:val="007431D0"/>
    <w:rsid w:val="00746355"/>
    <w:rsid w:val="00751EC6"/>
    <w:rsid w:val="00756D78"/>
    <w:rsid w:val="00762359"/>
    <w:rsid w:val="00764C54"/>
    <w:rsid w:val="00766169"/>
    <w:rsid w:val="0077012B"/>
    <w:rsid w:val="00773BE2"/>
    <w:rsid w:val="007909AE"/>
    <w:rsid w:val="007941B2"/>
    <w:rsid w:val="007A1EEB"/>
    <w:rsid w:val="007A47B9"/>
    <w:rsid w:val="007A6F69"/>
    <w:rsid w:val="007B2A2A"/>
    <w:rsid w:val="007B3C91"/>
    <w:rsid w:val="007B4C0B"/>
    <w:rsid w:val="007D1AEF"/>
    <w:rsid w:val="007D4A6E"/>
    <w:rsid w:val="007D6C38"/>
    <w:rsid w:val="007E004C"/>
    <w:rsid w:val="007E099B"/>
    <w:rsid w:val="007E1E88"/>
    <w:rsid w:val="007E272A"/>
    <w:rsid w:val="007E4C77"/>
    <w:rsid w:val="007E7C5A"/>
    <w:rsid w:val="007F123B"/>
    <w:rsid w:val="007F3B2D"/>
    <w:rsid w:val="007F4181"/>
    <w:rsid w:val="007F4C4D"/>
    <w:rsid w:val="007F4FB7"/>
    <w:rsid w:val="00803C3F"/>
    <w:rsid w:val="008059CC"/>
    <w:rsid w:val="00806E48"/>
    <w:rsid w:val="00811C08"/>
    <w:rsid w:val="00831D4F"/>
    <w:rsid w:val="008411F7"/>
    <w:rsid w:val="00845DE8"/>
    <w:rsid w:val="00855FEE"/>
    <w:rsid w:val="00866A36"/>
    <w:rsid w:val="00872306"/>
    <w:rsid w:val="008778CB"/>
    <w:rsid w:val="00881DAA"/>
    <w:rsid w:val="0088572C"/>
    <w:rsid w:val="00892258"/>
    <w:rsid w:val="0089249E"/>
    <w:rsid w:val="00894511"/>
    <w:rsid w:val="00894B11"/>
    <w:rsid w:val="008977D8"/>
    <w:rsid w:val="0089789C"/>
    <w:rsid w:val="008B0418"/>
    <w:rsid w:val="008B0722"/>
    <w:rsid w:val="008B664F"/>
    <w:rsid w:val="008E606D"/>
    <w:rsid w:val="008F36BF"/>
    <w:rsid w:val="008F6F57"/>
    <w:rsid w:val="00902603"/>
    <w:rsid w:val="00917C39"/>
    <w:rsid w:val="00922F7B"/>
    <w:rsid w:val="00926C65"/>
    <w:rsid w:val="009353AC"/>
    <w:rsid w:val="00937755"/>
    <w:rsid w:val="00944EA7"/>
    <w:rsid w:val="009467FF"/>
    <w:rsid w:val="00964291"/>
    <w:rsid w:val="0096484D"/>
    <w:rsid w:val="00965B31"/>
    <w:rsid w:val="009711AD"/>
    <w:rsid w:val="00971490"/>
    <w:rsid w:val="0097477E"/>
    <w:rsid w:val="00982167"/>
    <w:rsid w:val="00987A13"/>
    <w:rsid w:val="0099002C"/>
    <w:rsid w:val="009972A0"/>
    <w:rsid w:val="009A3ED2"/>
    <w:rsid w:val="009B02CD"/>
    <w:rsid w:val="009B28FF"/>
    <w:rsid w:val="009B746B"/>
    <w:rsid w:val="009C1480"/>
    <w:rsid w:val="009C446B"/>
    <w:rsid w:val="009C6951"/>
    <w:rsid w:val="009D311D"/>
    <w:rsid w:val="009D3269"/>
    <w:rsid w:val="009D3A55"/>
    <w:rsid w:val="009D683F"/>
    <w:rsid w:val="009E3451"/>
    <w:rsid w:val="009E7545"/>
    <w:rsid w:val="00A011C3"/>
    <w:rsid w:val="00A20D26"/>
    <w:rsid w:val="00A327F4"/>
    <w:rsid w:val="00A33C21"/>
    <w:rsid w:val="00A35627"/>
    <w:rsid w:val="00A4209F"/>
    <w:rsid w:val="00A477A7"/>
    <w:rsid w:val="00A5083A"/>
    <w:rsid w:val="00A57D22"/>
    <w:rsid w:val="00A740A4"/>
    <w:rsid w:val="00A74ECB"/>
    <w:rsid w:val="00A757F2"/>
    <w:rsid w:val="00A84745"/>
    <w:rsid w:val="00A9038E"/>
    <w:rsid w:val="00AA2696"/>
    <w:rsid w:val="00AA4956"/>
    <w:rsid w:val="00AA764A"/>
    <w:rsid w:val="00AB08C9"/>
    <w:rsid w:val="00AB7243"/>
    <w:rsid w:val="00AC044B"/>
    <w:rsid w:val="00AC5E43"/>
    <w:rsid w:val="00AC6A5F"/>
    <w:rsid w:val="00AC6DFE"/>
    <w:rsid w:val="00AD42CC"/>
    <w:rsid w:val="00AE0047"/>
    <w:rsid w:val="00AE195E"/>
    <w:rsid w:val="00AE1D42"/>
    <w:rsid w:val="00AE2783"/>
    <w:rsid w:val="00AF0504"/>
    <w:rsid w:val="00AF3001"/>
    <w:rsid w:val="00B01A00"/>
    <w:rsid w:val="00B13B78"/>
    <w:rsid w:val="00B27425"/>
    <w:rsid w:val="00B424B1"/>
    <w:rsid w:val="00B51883"/>
    <w:rsid w:val="00B601A5"/>
    <w:rsid w:val="00B61AB3"/>
    <w:rsid w:val="00B662A5"/>
    <w:rsid w:val="00B67BF7"/>
    <w:rsid w:val="00B74A56"/>
    <w:rsid w:val="00B74ADD"/>
    <w:rsid w:val="00B8041D"/>
    <w:rsid w:val="00B85923"/>
    <w:rsid w:val="00B940BC"/>
    <w:rsid w:val="00BA1E62"/>
    <w:rsid w:val="00BB2F94"/>
    <w:rsid w:val="00BC1D84"/>
    <w:rsid w:val="00BC2509"/>
    <w:rsid w:val="00BC32F6"/>
    <w:rsid w:val="00BD5040"/>
    <w:rsid w:val="00BE1A4C"/>
    <w:rsid w:val="00BE29D3"/>
    <w:rsid w:val="00BE2E04"/>
    <w:rsid w:val="00BE6DBE"/>
    <w:rsid w:val="00BE76D7"/>
    <w:rsid w:val="00BF166C"/>
    <w:rsid w:val="00BF285B"/>
    <w:rsid w:val="00BF70D9"/>
    <w:rsid w:val="00BF73D3"/>
    <w:rsid w:val="00C01901"/>
    <w:rsid w:val="00C02420"/>
    <w:rsid w:val="00C02935"/>
    <w:rsid w:val="00C04525"/>
    <w:rsid w:val="00C2497A"/>
    <w:rsid w:val="00C2776A"/>
    <w:rsid w:val="00C30B80"/>
    <w:rsid w:val="00C30C46"/>
    <w:rsid w:val="00C30CB8"/>
    <w:rsid w:val="00C44900"/>
    <w:rsid w:val="00C47C56"/>
    <w:rsid w:val="00C62635"/>
    <w:rsid w:val="00C6596E"/>
    <w:rsid w:val="00C7587A"/>
    <w:rsid w:val="00C80495"/>
    <w:rsid w:val="00C80946"/>
    <w:rsid w:val="00C93117"/>
    <w:rsid w:val="00C93874"/>
    <w:rsid w:val="00C97C68"/>
    <w:rsid w:val="00CA17FF"/>
    <w:rsid w:val="00CB10AC"/>
    <w:rsid w:val="00CB2E21"/>
    <w:rsid w:val="00CC4EA6"/>
    <w:rsid w:val="00CC71F1"/>
    <w:rsid w:val="00CD2DC6"/>
    <w:rsid w:val="00CE0D40"/>
    <w:rsid w:val="00CE1489"/>
    <w:rsid w:val="00CE3E45"/>
    <w:rsid w:val="00D01263"/>
    <w:rsid w:val="00D07CC6"/>
    <w:rsid w:val="00D13F2A"/>
    <w:rsid w:val="00D161DC"/>
    <w:rsid w:val="00D17BFF"/>
    <w:rsid w:val="00D22BF0"/>
    <w:rsid w:val="00D24FDB"/>
    <w:rsid w:val="00D32046"/>
    <w:rsid w:val="00D34711"/>
    <w:rsid w:val="00D35F81"/>
    <w:rsid w:val="00D43687"/>
    <w:rsid w:val="00D43E38"/>
    <w:rsid w:val="00D465C8"/>
    <w:rsid w:val="00D551E4"/>
    <w:rsid w:val="00D61C6D"/>
    <w:rsid w:val="00D71E67"/>
    <w:rsid w:val="00D750A8"/>
    <w:rsid w:val="00D854A3"/>
    <w:rsid w:val="00D9076E"/>
    <w:rsid w:val="00D92864"/>
    <w:rsid w:val="00D92A7E"/>
    <w:rsid w:val="00DA3DBC"/>
    <w:rsid w:val="00DA72CD"/>
    <w:rsid w:val="00DB593C"/>
    <w:rsid w:val="00DB5F14"/>
    <w:rsid w:val="00DC1884"/>
    <w:rsid w:val="00DC2174"/>
    <w:rsid w:val="00DC39B9"/>
    <w:rsid w:val="00DC5FD0"/>
    <w:rsid w:val="00DC6904"/>
    <w:rsid w:val="00DC790C"/>
    <w:rsid w:val="00DD1874"/>
    <w:rsid w:val="00DD6832"/>
    <w:rsid w:val="00DF5193"/>
    <w:rsid w:val="00DF733D"/>
    <w:rsid w:val="00E023D0"/>
    <w:rsid w:val="00E11E55"/>
    <w:rsid w:val="00E15935"/>
    <w:rsid w:val="00E20F0F"/>
    <w:rsid w:val="00E36584"/>
    <w:rsid w:val="00E525D9"/>
    <w:rsid w:val="00E63FE7"/>
    <w:rsid w:val="00E73DC6"/>
    <w:rsid w:val="00E830FC"/>
    <w:rsid w:val="00EA1C59"/>
    <w:rsid w:val="00EA4EE8"/>
    <w:rsid w:val="00EA606B"/>
    <w:rsid w:val="00EB770E"/>
    <w:rsid w:val="00EB7CA2"/>
    <w:rsid w:val="00ED3993"/>
    <w:rsid w:val="00EE3D2D"/>
    <w:rsid w:val="00EE74CB"/>
    <w:rsid w:val="00EF5390"/>
    <w:rsid w:val="00F02769"/>
    <w:rsid w:val="00F04486"/>
    <w:rsid w:val="00F13874"/>
    <w:rsid w:val="00F2197A"/>
    <w:rsid w:val="00F30F41"/>
    <w:rsid w:val="00F3591B"/>
    <w:rsid w:val="00F378FF"/>
    <w:rsid w:val="00F421C5"/>
    <w:rsid w:val="00F4251E"/>
    <w:rsid w:val="00F4527D"/>
    <w:rsid w:val="00F50168"/>
    <w:rsid w:val="00F542FD"/>
    <w:rsid w:val="00F61076"/>
    <w:rsid w:val="00F66119"/>
    <w:rsid w:val="00F67CC0"/>
    <w:rsid w:val="00F7359E"/>
    <w:rsid w:val="00F75F85"/>
    <w:rsid w:val="00F8223F"/>
    <w:rsid w:val="00F85514"/>
    <w:rsid w:val="00F877E6"/>
    <w:rsid w:val="00F9632F"/>
    <w:rsid w:val="00FA0C75"/>
    <w:rsid w:val="00FA12FA"/>
    <w:rsid w:val="00FA4AC2"/>
    <w:rsid w:val="00FA587B"/>
    <w:rsid w:val="00FB404C"/>
    <w:rsid w:val="00FC28A8"/>
    <w:rsid w:val="00FC553F"/>
    <w:rsid w:val="00FD06DC"/>
    <w:rsid w:val="00FD11D9"/>
    <w:rsid w:val="00FD3EF0"/>
    <w:rsid w:val="00FF670F"/>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461D40E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LTUnivers 330 BasicLight" w:hAnsi="LTUnivers 330 BasicLight"/>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semiHidden/>
    <w:rsid w:val="00773BE2"/>
    <w:pPr>
      <w:tabs>
        <w:tab w:val="center" w:pos="4536"/>
        <w:tab w:val="right" w:pos="9072"/>
      </w:tabs>
    </w:pPr>
    <w:rPr>
      <w:rFonts w:ascii="Helvetica" w:eastAsia="Times" w:hAnsi="Helvetica"/>
      <w:szCs w:val="20"/>
    </w:rPr>
  </w:style>
  <w:style w:type="character" w:styleId="Seitenzahl">
    <w:name w:val="page number"/>
    <w:basedOn w:val="Absatz-Standardschriftart"/>
    <w:rsid w:val="00773BE2"/>
  </w:style>
  <w:style w:type="paragraph" w:styleId="Kopfzeile">
    <w:name w:val="header"/>
    <w:basedOn w:val="Standard"/>
    <w:rsid w:val="001D4FAF"/>
    <w:pPr>
      <w:tabs>
        <w:tab w:val="center" w:pos="4536"/>
        <w:tab w:val="right" w:pos="9072"/>
      </w:tabs>
    </w:pPr>
  </w:style>
  <w:style w:type="paragraph" w:styleId="Sprechblasentext">
    <w:name w:val="Balloon Text"/>
    <w:basedOn w:val="Standard"/>
    <w:semiHidden/>
    <w:rsid w:val="00092E13"/>
    <w:rPr>
      <w:rFonts w:ascii="Tahoma" w:hAnsi="Tahoma" w:cs="Tahoma"/>
      <w:sz w:val="16"/>
      <w:szCs w:val="16"/>
    </w:rPr>
  </w:style>
  <w:style w:type="character" w:styleId="Hyperlink">
    <w:name w:val="Hyperlink"/>
    <w:uiPriority w:val="99"/>
    <w:unhideWhenUsed/>
    <w:rsid w:val="00FF7695"/>
    <w:rPr>
      <w:color w:val="0000FF"/>
      <w:u w:val="single"/>
    </w:rPr>
  </w:style>
  <w:style w:type="table" w:styleId="Tabellenraster">
    <w:name w:val="Table Grid"/>
    <w:basedOn w:val="NormaleTabelle"/>
    <w:uiPriority w:val="59"/>
    <w:rsid w:val="00AE19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bsatz-Standardschriftart"/>
    <w:uiPriority w:val="99"/>
    <w:rsid w:val="00173DF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LTUnivers 330 BasicLight" w:hAnsi="LTUnivers 330 BasicLight"/>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semiHidden/>
    <w:rsid w:val="00773BE2"/>
    <w:pPr>
      <w:tabs>
        <w:tab w:val="center" w:pos="4536"/>
        <w:tab w:val="right" w:pos="9072"/>
      </w:tabs>
    </w:pPr>
    <w:rPr>
      <w:rFonts w:ascii="Helvetica" w:eastAsia="Times" w:hAnsi="Helvetica"/>
      <w:szCs w:val="20"/>
    </w:rPr>
  </w:style>
  <w:style w:type="character" w:styleId="Seitenzahl">
    <w:name w:val="page number"/>
    <w:basedOn w:val="Absatz-Standardschriftart"/>
    <w:rsid w:val="00773BE2"/>
  </w:style>
  <w:style w:type="paragraph" w:styleId="Kopfzeile">
    <w:name w:val="header"/>
    <w:basedOn w:val="Standard"/>
    <w:rsid w:val="001D4FAF"/>
    <w:pPr>
      <w:tabs>
        <w:tab w:val="center" w:pos="4536"/>
        <w:tab w:val="right" w:pos="9072"/>
      </w:tabs>
    </w:pPr>
  </w:style>
  <w:style w:type="paragraph" w:styleId="Sprechblasentext">
    <w:name w:val="Balloon Text"/>
    <w:basedOn w:val="Standard"/>
    <w:semiHidden/>
    <w:rsid w:val="00092E13"/>
    <w:rPr>
      <w:rFonts w:ascii="Tahoma" w:hAnsi="Tahoma" w:cs="Tahoma"/>
      <w:sz w:val="16"/>
      <w:szCs w:val="16"/>
    </w:rPr>
  </w:style>
  <w:style w:type="character" w:styleId="Hyperlink">
    <w:name w:val="Hyperlink"/>
    <w:uiPriority w:val="99"/>
    <w:unhideWhenUsed/>
    <w:rsid w:val="00FF7695"/>
    <w:rPr>
      <w:color w:val="0000FF"/>
      <w:u w:val="single"/>
    </w:rPr>
  </w:style>
  <w:style w:type="table" w:styleId="Tabellenraster">
    <w:name w:val="Table Grid"/>
    <w:basedOn w:val="NormaleTabelle"/>
    <w:uiPriority w:val="59"/>
    <w:rsid w:val="00AE19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bsatz-Standardschriftart"/>
    <w:uiPriority w:val="99"/>
    <w:rsid w:val="00173D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1419</Words>
  <Characters>9314</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Presse-Information</vt:lpstr>
    </vt:vector>
  </TitlesOfParts>
  <Company>ROTO FRANK AG</Company>
  <LinksUpToDate>false</LinksUpToDate>
  <CharactersWithSpaces>10712</CharactersWithSpaces>
  <SharedDoc>false</SharedDoc>
  <HLinks>
    <vt:vector size="6" baseType="variant">
      <vt:variant>
        <vt:i4>4522027</vt:i4>
      </vt:variant>
      <vt:variant>
        <vt:i4>6670</vt:i4>
      </vt:variant>
      <vt:variant>
        <vt:i4>1025</vt:i4>
      </vt:variant>
      <vt:variant>
        <vt:i4>1</vt:i4>
      </vt:variant>
      <vt:variant>
        <vt:lpwstr>Roto_germanmade_RGB</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creator>sailer</dc:creator>
  <cp:lastModifiedBy>Sabine Barbie</cp:lastModifiedBy>
  <cp:revision>5</cp:revision>
  <cp:lastPrinted>2019-11-05T15:29:00Z</cp:lastPrinted>
  <dcterms:created xsi:type="dcterms:W3CDTF">2019-11-07T17:14:00Z</dcterms:created>
  <dcterms:modified xsi:type="dcterms:W3CDTF">2019-11-07T18:18:00Z</dcterms:modified>
</cp:coreProperties>
</file>