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5B35ED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Pr="005B35E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5384E">
        <w:rPr>
          <w:rFonts w:ascii="LTUnivers 330 BasicLight" w:hAnsi="LTUnivers 330 BasicLight" w:cs="Arial"/>
          <w:color w:val="000000" w:themeColor="text1"/>
        </w:rPr>
        <w:t xml:space="preserve">Warszawa, </w:t>
      </w:r>
      <w:r w:rsidR="00086D48">
        <w:rPr>
          <w:rFonts w:ascii="LTUnivers 330 BasicLight" w:hAnsi="LTUnivers 330 BasicLight" w:cs="Arial"/>
          <w:color w:val="000000" w:themeColor="text1"/>
        </w:rPr>
        <w:t>6</w:t>
      </w:r>
      <w:r w:rsidR="002E405E" w:rsidRPr="0015384E">
        <w:rPr>
          <w:rFonts w:ascii="LTUnivers 330 BasicLight" w:hAnsi="LTUnivers 330 BasicLight" w:cs="Arial"/>
          <w:color w:val="000000" w:themeColor="text1"/>
        </w:rPr>
        <w:t xml:space="preserve"> </w:t>
      </w:r>
      <w:r w:rsidR="00F933FA">
        <w:rPr>
          <w:rFonts w:ascii="LTUnivers 330 BasicLight" w:hAnsi="LTUnivers 330 BasicLight" w:cs="Arial"/>
          <w:color w:val="000000" w:themeColor="text1"/>
        </w:rPr>
        <w:t>grudnia</w:t>
      </w:r>
      <w:r w:rsidRPr="0015384E">
        <w:rPr>
          <w:rFonts w:ascii="LTUnivers 330 BasicLight" w:hAnsi="LTUnivers 330 BasicLight" w:cs="Arial"/>
          <w:color w:val="000000" w:themeColor="text1"/>
        </w:rPr>
        <w:t xml:space="preserve"> 2018</w:t>
      </w:r>
      <w:r w:rsidR="002E405E" w:rsidRPr="0015384E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AD02CA" w:rsidRPr="0015384E" w:rsidRDefault="00AD02CA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AD02CA" w:rsidRDefault="00F40024" w:rsidP="00AD02CA">
      <w:pPr>
        <w:adjustRightInd w:val="0"/>
        <w:spacing w:after="240" w:line="360" w:lineRule="auto"/>
        <w:ind w:right="-1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Inspiracj</w:t>
      </w:r>
      <w:r w:rsidR="009F3A8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e</w:t>
      </w:r>
      <w:r w:rsidR="003217D8"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światow</w:t>
      </w:r>
      <w:r w:rsidR="009F3A8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ą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architektur</w:t>
      </w:r>
      <w:r w:rsidR="009F3A8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ą</w:t>
      </w:r>
      <w:r w:rsidR="003217D8"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</w:t>
      </w:r>
      <w:r w:rsidR="00086D48"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- Roto Aluvision na targach BAU 2019</w:t>
      </w:r>
    </w:p>
    <w:p w:rsidR="00B65E7F" w:rsidRPr="00A700C2" w:rsidRDefault="00B65E7F" w:rsidP="00AD02CA">
      <w:pPr>
        <w:adjustRightInd w:val="0"/>
        <w:spacing w:after="240" w:line="360" w:lineRule="auto"/>
        <w:ind w:right="-12"/>
        <w:contextualSpacing/>
        <w:rPr>
          <w:rFonts w:ascii="LTUnivers 330 BasicLight" w:eastAsiaTheme="majorEastAsia" w:hAnsi="LTUnivers 330 BasicLight" w:cs="Tahoma"/>
          <w:b/>
          <w:bCs/>
          <w:sz w:val="18"/>
          <w:szCs w:val="18"/>
        </w:rPr>
      </w:pPr>
    </w:p>
    <w:p w:rsidR="00086D48" w:rsidRPr="00086D48" w:rsidRDefault="00086D48" w:rsidP="00AD02CA">
      <w:pPr>
        <w:tabs>
          <w:tab w:val="left" w:pos="9911"/>
        </w:tabs>
        <w:adjustRightInd w:val="0"/>
        <w:spacing w:before="240" w:after="240" w:line="360" w:lineRule="auto"/>
        <w:ind w:right="-12"/>
        <w:contextualSpacing/>
        <w:jc w:val="both"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Podczas Międzynarodowych Targów BAU 2019 w Monachium zespół doradców Roto Aluvision prze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d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stawi najnowsze możliwości w zakresie indywidualnego projektowania okien, systemów przesuwnych i drzwi aluminiowych w realizacjach obiektowych. W</w:t>
      </w:r>
      <w:r w:rsidR="00F40024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 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dniach </w:t>
      </w:r>
      <w:r w:rsidR="00F40024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14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-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19 stycznia 2019 r. w hali C1 na stoisku nr 319</w:t>
      </w:r>
      <w:bookmarkStart w:id="0" w:name="_GoBack"/>
      <w:bookmarkEnd w:id="0"/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eksperci Roto zaprezentują </w:t>
      </w:r>
      <w:r w:rsidR="0069676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innowacyjne 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systemy </w:t>
      </w:r>
      <w:r w:rsidR="003217D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okuciowe: 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standardowe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oraz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specyficzne rozwiązania</w:t>
      </w:r>
      <w:r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,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tworzone na potrzeby konkretnych wymagań konstrukcyjnych.</w:t>
      </w:r>
    </w:p>
    <w:p w:rsidR="00086D48" w:rsidRPr="00086D48" w:rsidRDefault="00086D48" w:rsidP="00086D48">
      <w:pPr>
        <w:adjustRightInd w:val="0"/>
        <w:spacing w:line="360" w:lineRule="auto"/>
        <w:ind w:right="175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</w:p>
    <w:p w:rsidR="003217D8" w:rsidRDefault="00086D48" w:rsidP="00F40024">
      <w:pPr>
        <w:adjustRightInd w:val="0"/>
        <w:spacing w:line="360" w:lineRule="auto"/>
        <w:ind w:right="-12"/>
        <w:contextualSpacing/>
        <w:jc w:val="both"/>
        <w:rPr>
          <w:rFonts w:ascii="LTUnivers 330 BasicLight" w:eastAsiaTheme="majorEastAsia" w:hAnsi="LTUnivers 330 BasicLight" w:cs="Tahoma"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W budownictwie obiektowym rośnie zapotrzebowanie na duże okna i drzwi balkonowe z aluminium spełniające indywidualne kryteria projektowe. Dobór odpowiednich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rozwiązań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wymaga ścisłej współpracy pomiędzy architektami, projektantami fasad, dostawcami systemów i producentami ślusarki. Indywidualne doradztwo realizowane przez 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Roto w zakresie tworzenia systemów okuć do okien i drzwi,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odpowiadających konkretnym potrzebom, będzie jednym z głównych tematów prezentacji marki podczas Międzynarodowych Targów BAU 2019.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Wydarzenie jest jednym z</w:t>
      </w:r>
      <w:r w:rsidR="00F40024">
        <w:rPr>
          <w:rFonts w:ascii="LTUnivers 330 BasicLight" w:eastAsiaTheme="majorEastAsia" w:hAnsi="LTUnivers 330 BasicLight" w:cs="Tahoma"/>
          <w:bCs/>
          <w:sz w:val="22"/>
          <w:szCs w:val="22"/>
        </w:rPr>
        <w:t> 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najważniejszych spotkań producentów fasad i okien z aluminium na świecie.</w:t>
      </w:r>
    </w:p>
    <w:p w:rsidR="00F40024" w:rsidRPr="00F40024" w:rsidRDefault="00F40024" w:rsidP="00F40024">
      <w:pPr>
        <w:adjustRightInd w:val="0"/>
        <w:spacing w:line="360" w:lineRule="auto"/>
        <w:ind w:right="-12"/>
        <w:contextualSpacing/>
        <w:jc w:val="both"/>
        <w:rPr>
          <w:rFonts w:ascii="LTUnivers 330 BasicLight" w:eastAsiaTheme="majorEastAsia" w:hAnsi="LTUnivers 330 BasicLight" w:cs="Tahoma"/>
          <w:bCs/>
          <w:sz w:val="22"/>
          <w:szCs w:val="22"/>
        </w:rPr>
      </w:pPr>
    </w:p>
    <w:p w:rsidR="003217D8" w:rsidRPr="00086D48" w:rsidRDefault="003217D8" w:rsidP="003217D8">
      <w:pPr>
        <w:adjustRightInd w:val="0"/>
        <w:spacing w:line="360" w:lineRule="auto"/>
        <w:ind w:right="175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Inspiracj</w:t>
      </w:r>
      <w:r w:rsidR="00F40024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e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światow</w:t>
      </w:r>
      <w:r w:rsidR="009F3A8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ą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architektur</w:t>
      </w:r>
      <w:r w:rsidR="009F3A8B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ą</w:t>
      </w: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 xml:space="preserve"> </w:t>
      </w:r>
    </w:p>
    <w:p w:rsidR="003217D8" w:rsidRPr="00086D48" w:rsidRDefault="003217D8" w:rsidP="003217D8">
      <w:pPr>
        <w:adjustRightInd w:val="0"/>
        <w:spacing w:line="360" w:lineRule="auto"/>
        <w:ind w:right="175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</w:p>
    <w:p w:rsidR="003217D8" w:rsidRPr="00086D48" w:rsidRDefault="003217D8" w:rsidP="003217D8">
      <w:pPr>
        <w:tabs>
          <w:tab w:val="left" w:pos="9911"/>
        </w:tabs>
        <w:adjustRightInd w:val="0"/>
        <w:spacing w:line="360" w:lineRule="auto"/>
        <w:ind w:right="-12"/>
        <w:contextualSpacing/>
        <w:jc w:val="both"/>
        <w:rPr>
          <w:rFonts w:ascii="LTUnivers 330 BasicLight" w:eastAsiaTheme="majorEastAsia" w:hAnsi="LTUnivers 330 BasicLight" w:cs="Tahoma"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Odwiedzający stoisko Roto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na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BAU 2019 będą mogli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zobaczyć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najnowsze,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najbardziej prestiżowe realizacje obiektowe na świecie. Zewnętrzne ściany stoiska utworzą wielkoformatową powierzchnię projekcyjną, na której w postaci filmów wyświetlane będą unikatowe fasady, zaprojektowane przez znan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ych architektów. Na obszarze o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260 m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  <w:vertAlign w:val="superscript"/>
        </w:rPr>
        <w:t>2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eksperci Roto Aluvision udzielać będą wszelkich informacji na te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mat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technologii oraz nietypowych rozwiązań,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s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tworzonych przez renomowanych projektantów w ciągu ostatnich dwóch lat. </w:t>
      </w:r>
    </w:p>
    <w:p w:rsidR="00AD02CA" w:rsidRPr="00086D48" w:rsidRDefault="00AD02CA" w:rsidP="003217D8">
      <w:pPr>
        <w:adjustRightInd w:val="0"/>
        <w:spacing w:line="360" w:lineRule="auto"/>
        <w:ind w:right="1752"/>
        <w:contextualSpacing/>
        <w:jc w:val="both"/>
        <w:rPr>
          <w:rFonts w:ascii="LTUnivers 330 BasicLight" w:eastAsiaTheme="majorEastAsia" w:hAnsi="LTUnivers 330 BasicLight" w:cs="Tahoma"/>
          <w:bCs/>
          <w:sz w:val="22"/>
          <w:szCs w:val="22"/>
        </w:rPr>
      </w:pPr>
    </w:p>
    <w:p w:rsidR="00086D48" w:rsidRPr="00086D48" w:rsidRDefault="00086D48" w:rsidP="00086D48">
      <w:pPr>
        <w:adjustRightInd w:val="0"/>
        <w:spacing w:line="360" w:lineRule="auto"/>
        <w:ind w:right="175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/>
          <w:bCs/>
          <w:sz w:val="22"/>
          <w:szCs w:val="22"/>
        </w:rPr>
        <w:t>Nowatorskie systemy szyte na miarę</w:t>
      </w:r>
    </w:p>
    <w:p w:rsidR="00086D48" w:rsidRPr="00086D48" w:rsidRDefault="00086D48" w:rsidP="00086D48">
      <w:pPr>
        <w:adjustRightInd w:val="0"/>
        <w:spacing w:line="360" w:lineRule="auto"/>
        <w:ind w:right="175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</w:p>
    <w:p w:rsidR="00086D48" w:rsidRPr="00086D48" w:rsidRDefault="00086D48" w:rsidP="00086D48">
      <w:pPr>
        <w:adjustRightInd w:val="0"/>
        <w:spacing w:line="360" w:lineRule="auto"/>
        <w:ind w:right="-12"/>
        <w:contextualSpacing/>
        <w:jc w:val="both"/>
        <w:rPr>
          <w:rFonts w:ascii="LTUnivers 330 BasicLight" w:eastAsiaTheme="majorEastAsia" w:hAnsi="LTUnivers 330 BasicLight" w:cs="Tahoma"/>
          <w:bCs/>
          <w:sz w:val="22"/>
          <w:szCs w:val="22"/>
        </w:rPr>
      </w:pP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lastRenderedPageBreak/>
        <w:t xml:space="preserve">W 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>nadchodzących targach BAU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udział weźmie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międzynarodowa grupa ekspertów Roto Aluvision, wspierająca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producentów i inwestorów w 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>zakresie tworzenia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zaawansowanych systemów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okuć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dla realizacji obiektowych. Na stoisku 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>prezentowane będą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nowości, a także pełen asortyment zaawansowanych rozwiązań Roto. Bogata oferta producenta obejmuje innowacyjne okucia do okien i drzwi z aluminium Roto AL i Roto AL Designo, szeroki wybór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klamek, zamków drzwiowych, akcesoriów do szklenia oraz profili uszczelniających. Dzięki kompleksowej palecie rozwiązań standardowych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,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Roto dostarcza indywidualne systemy do najbardziej nowatorskich projektów. Jako 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>ceniony</w:t>
      </w:r>
      <w:r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partner architektów, inwestorów i producentów zapewnia pełne wsparcie na każdym etapie inwestycji - od pomysłu do realizacji. </w:t>
      </w:r>
    </w:p>
    <w:p w:rsidR="00086D48" w:rsidRPr="00086D48" w:rsidRDefault="00086D48" w:rsidP="00086D48">
      <w:pPr>
        <w:adjustRightInd w:val="0"/>
        <w:spacing w:line="360" w:lineRule="auto"/>
        <w:ind w:right="-12"/>
        <w:contextualSpacing/>
        <w:rPr>
          <w:rFonts w:ascii="LTUnivers 330 BasicLight" w:eastAsiaTheme="majorEastAsia" w:hAnsi="LTUnivers 330 BasicLight" w:cs="Tahoma"/>
          <w:b/>
          <w:bCs/>
          <w:sz w:val="22"/>
          <w:szCs w:val="22"/>
        </w:rPr>
      </w:pPr>
    </w:p>
    <w:p w:rsidR="009C617F" w:rsidRPr="00086D48" w:rsidRDefault="002B2674" w:rsidP="00086D48">
      <w:pPr>
        <w:adjustRightInd w:val="0"/>
        <w:spacing w:line="360" w:lineRule="auto"/>
        <w:ind w:right="-12"/>
        <w:contextualSpacing/>
        <w:jc w:val="both"/>
        <w:rPr>
          <w:rFonts w:ascii="Arial" w:hAnsi="Arial" w:cs="Arial"/>
        </w:rPr>
      </w:pPr>
      <w:r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Eksperci </w:t>
      </w:r>
      <w:r w:rsidR="00086D48"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Roto Aluvision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są do dyspozycji</w:t>
      </w:r>
      <w:r w:rsidR="0069676B">
        <w:rPr>
          <w:rFonts w:ascii="LTUnivers 330 BasicLight" w:eastAsiaTheme="majorEastAsia" w:hAnsi="LTUnivers 330 BasicLight" w:cs="Tahoma"/>
          <w:bCs/>
          <w:sz w:val="22"/>
          <w:szCs w:val="22"/>
        </w:rPr>
        <w:t xml:space="preserve"> 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o</w:t>
      </w:r>
      <w:r w:rsidR="00086D48" w:rsidRPr="00086D48">
        <w:rPr>
          <w:rFonts w:ascii="LTUnivers 330 BasicLight" w:eastAsiaTheme="majorEastAsia" w:hAnsi="LTUnivers 330 BasicLight" w:cs="Tahoma"/>
          <w:bCs/>
          <w:sz w:val="22"/>
          <w:szCs w:val="22"/>
        </w:rPr>
        <w:t>dwiedzających w dniach od 14-19 stycznia 2019 r. w hali C1 na stoisku nr 319</w:t>
      </w:r>
      <w:r>
        <w:rPr>
          <w:rFonts w:ascii="LTUnivers 330 BasicLight" w:eastAsiaTheme="majorEastAsia" w:hAnsi="LTUnivers 330 BasicLight" w:cs="Tahoma"/>
          <w:bCs/>
          <w:sz w:val="22"/>
          <w:szCs w:val="22"/>
        </w:rPr>
        <w:t>.</w:t>
      </w:r>
    </w:p>
    <w:p w:rsidR="005B35ED" w:rsidRPr="005B35ED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5B35ED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5B35ED" w:rsidRDefault="005B35ED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5B35ED" w:rsidRDefault="005B35ED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100C82" w:rsidRPr="00086D48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086D48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100C82" w:rsidRPr="00086D48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086D48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uchylno-rozwiernych, przesuwnych, harmonijkowych, a także zamki, zawiasy i progi, akcesoria do szklenia oraz elektroniczne wyposażenie dodatkowe. Ponad 8000 artykułów z gamy inteligentnych rozwiązań łączy bezpieczeństwo, zarządzanie energią i komfort w budynkach. Innowacyjne niezawodne okucia produkowane są w 15 zakładach Roto na całym świecie.</w:t>
      </w:r>
    </w:p>
    <w:p w:rsidR="00E8724A" w:rsidRPr="00086D48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9449FE" w:rsidRPr="00086D48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086D48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Frank Okna Dachowe. </w:t>
      </w:r>
    </w:p>
    <w:p w:rsidR="00100C82" w:rsidRPr="00086D48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70C0"/>
          <w:sz w:val="20"/>
          <w:szCs w:val="20"/>
          <w:u w:val="none"/>
          <w:shd w:val="clear" w:color="auto" w:fill="FFFFFF"/>
        </w:rPr>
      </w:pPr>
      <w:r w:rsidRPr="00086D48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 można znaleźć na stronie internetowej: </w:t>
      </w:r>
      <w:r w:rsidRPr="00086D48">
        <w:rPr>
          <w:rFonts w:ascii="LTUnivers 330 BasicLight" w:hAnsi="LTUnivers 330 BasicLight" w:cs="Arial"/>
          <w:color w:val="0070C0"/>
          <w:sz w:val="20"/>
          <w:szCs w:val="20"/>
        </w:rPr>
        <w:fldChar w:fldCharType="begin"/>
      </w:r>
      <w:r w:rsidR="00BD3AE5" w:rsidRPr="00086D48">
        <w:rPr>
          <w:rFonts w:ascii="LTUnivers 330 BasicLight" w:hAnsi="LTUnivers 330 BasicLight" w:cs="Arial"/>
          <w:color w:val="0070C0"/>
          <w:sz w:val="20"/>
          <w:szCs w:val="20"/>
        </w:rPr>
        <w:instrText>HYPERLINK "http://www.roto-frank.pl/"</w:instrText>
      </w:r>
      <w:r w:rsidRPr="00086D48">
        <w:rPr>
          <w:rFonts w:ascii="LTUnivers 330 BasicLight" w:hAnsi="LTUnivers 330 BasicLight" w:cs="Arial"/>
          <w:color w:val="0070C0"/>
          <w:sz w:val="20"/>
          <w:szCs w:val="20"/>
        </w:rPr>
        <w:fldChar w:fldCharType="separate"/>
      </w:r>
      <w:r w:rsidRPr="00086D48">
        <w:rPr>
          <w:rStyle w:val="Hipercze"/>
          <w:rFonts w:ascii="LTUnivers 330 BasicLight" w:hAnsi="LTUnivers 330 BasicLight" w:cs="Arial"/>
          <w:color w:val="0070C0"/>
          <w:sz w:val="20"/>
          <w:szCs w:val="20"/>
        </w:rPr>
        <w:t xml:space="preserve">www.roto-frank.pl. </w:t>
      </w:r>
    </w:p>
    <w:p w:rsidR="00100C82" w:rsidRPr="00086D48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086D48">
        <w:rPr>
          <w:rFonts w:ascii="LTUnivers 330 BasicLight" w:hAnsi="LTUnivers 330 BasicLight" w:cs="Arial"/>
          <w:color w:val="0070C0"/>
          <w:sz w:val="20"/>
          <w:szCs w:val="20"/>
        </w:rPr>
        <w:fldChar w:fldCharType="end"/>
      </w:r>
      <w:r w:rsidRPr="00086D48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 xml:space="preserve">Kontakt dla mediów: </w:t>
      </w:r>
    </w:p>
    <w:p w:rsidR="00100C82" w:rsidRPr="00086D48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086D48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Pezda, Specjalista ds. komunikacji marketingowej Europa Północno-Wschodnia </w:t>
      </w:r>
    </w:p>
    <w:p w:rsidR="00100C82" w:rsidRPr="00086D48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  <w:r w:rsidRPr="00086D48"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  <w:t>tel. +48 22 5670937, e-mail: Monika.pezda@roto-frank.com</w:t>
      </w:r>
    </w:p>
    <w:p w:rsidR="00100C82" w:rsidRPr="00086D48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</w:p>
    <w:p w:rsidR="00100C82" w:rsidRPr="00086D48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</w:p>
    <w:sectPr w:rsidR="00100C82" w:rsidRPr="00086D48" w:rsidSect="0008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6" w:right="748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A" w:rsidRDefault="00AD0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A" w:rsidRDefault="00AD02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A" w:rsidRDefault="00AD0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A" w:rsidRDefault="00AD0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D48EE8" wp14:editId="2A7B3373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5" name="Obraz 5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17C19" wp14:editId="43B2A333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6" name="Obraz 6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5CEB"/>
    <w:rsid w:val="00043EC3"/>
    <w:rsid w:val="00070F5A"/>
    <w:rsid w:val="00074834"/>
    <w:rsid w:val="00080A5F"/>
    <w:rsid w:val="00086D48"/>
    <w:rsid w:val="000F14B8"/>
    <w:rsid w:val="000F7EC1"/>
    <w:rsid w:val="00100C82"/>
    <w:rsid w:val="00103750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A3194"/>
    <w:rsid w:val="002B0554"/>
    <w:rsid w:val="002B2674"/>
    <w:rsid w:val="002E405E"/>
    <w:rsid w:val="00313D9E"/>
    <w:rsid w:val="00314B55"/>
    <w:rsid w:val="0032129B"/>
    <w:rsid w:val="003217D8"/>
    <w:rsid w:val="003345E7"/>
    <w:rsid w:val="0041034D"/>
    <w:rsid w:val="00415AAC"/>
    <w:rsid w:val="00434F9D"/>
    <w:rsid w:val="00444DA7"/>
    <w:rsid w:val="00463EC2"/>
    <w:rsid w:val="00496E8B"/>
    <w:rsid w:val="00497529"/>
    <w:rsid w:val="004A4DA4"/>
    <w:rsid w:val="004A654C"/>
    <w:rsid w:val="005049A8"/>
    <w:rsid w:val="0050766A"/>
    <w:rsid w:val="00542E9C"/>
    <w:rsid w:val="0055350C"/>
    <w:rsid w:val="00582C41"/>
    <w:rsid w:val="005875A9"/>
    <w:rsid w:val="005A6D7F"/>
    <w:rsid w:val="005B35ED"/>
    <w:rsid w:val="005B68FF"/>
    <w:rsid w:val="005C0922"/>
    <w:rsid w:val="005E4A92"/>
    <w:rsid w:val="0063501C"/>
    <w:rsid w:val="0064380B"/>
    <w:rsid w:val="006669EE"/>
    <w:rsid w:val="00680344"/>
    <w:rsid w:val="0069676B"/>
    <w:rsid w:val="006C2F67"/>
    <w:rsid w:val="006C3D99"/>
    <w:rsid w:val="006C44BA"/>
    <w:rsid w:val="006C483F"/>
    <w:rsid w:val="006C5463"/>
    <w:rsid w:val="006D39C3"/>
    <w:rsid w:val="006F1D1A"/>
    <w:rsid w:val="00720E9E"/>
    <w:rsid w:val="0072134B"/>
    <w:rsid w:val="00737E2E"/>
    <w:rsid w:val="007440E3"/>
    <w:rsid w:val="00745DAE"/>
    <w:rsid w:val="00764458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42B51"/>
    <w:rsid w:val="008769EA"/>
    <w:rsid w:val="00885DD9"/>
    <w:rsid w:val="0089448F"/>
    <w:rsid w:val="009001D5"/>
    <w:rsid w:val="00912F71"/>
    <w:rsid w:val="00927348"/>
    <w:rsid w:val="009449FE"/>
    <w:rsid w:val="0095654D"/>
    <w:rsid w:val="0096318D"/>
    <w:rsid w:val="00973B50"/>
    <w:rsid w:val="009A4805"/>
    <w:rsid w:val="009C617F"/>
    <w:rsid w:val="009D4217"/>
    <w:rsid w:val="009F3A8B"/>
    <w:rsid w:val="00A025F3"/>
    <w:rsid w:val="00A700C2"/>
    <w:rsid w:val="00AC218D"/>
    <w:rsid w:val="00AD02CA"/>
    <w:rsid w:val="00AF6A0B"/>
    <w:rsid w:val="00B26CCE"/>
    <w:rsid w:val="00B27B11"/>
    <w:rsid w:val="00B460F0"/>
    <w:rsid w:val="00B54E02"/>
    <w:rsid w:val="00B57043"/>
    <w:rsid w:val="00B65E7F"/>
    <w:rsid w:val="00B7177B"/>
    <w:rsid w:val="00BA58DB"/>
    <w:rsid w:val="00BB2133"/>
    <w:rsid w:val="00BD2AD5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D05AA"/>
    <w:rsid w:val="00CD1934"/>
    <w:rsid w:val="00CD5618"/>
    <w:rsid w:val="00CD5F8B"/>
    <w:rsid w:val="00D6481E"/>
    <w:rsid w:val="00D66B3E"/>
    <w:rsid w:val="00D71E04"/>
    <w:rsid w:val="00D775FB"/>
    <w:rsid w:val="00DA78BC"/>
    <w:rsid w:val="00DB0472"/>
    <w:rsid w:val="00DC674D"/>
    <w:rsid w:val="00DC7CAD"/>
    <w:rsid w:val="00E078F0"/>
    <w:rsid w:val="00E26C52"/>
    <w:rsid w:val="00E3466E"/>
    <w:rsid w:val="00E81A03"/>
    <w:rsid w:val="00E8724A"/>
    <w:rsid w:val="00E91DD3"/>
    <w:rsid w:val="00EC5AEA"/>
    <w:rsid w:val="00EE6ABB"/>
    <w:rsid w:val="00F1389F"/>
    <w:rsid w:val="00F40024"/>
    <w:rsid w:val="00F51BF6"/>
    <w:rsid w:val="00F528C5"/>
    <w:rsid w:val="00F52BFB"/>
    <w:rsid w:val="00F56FC0"/>
    <w:rsid w:val="00F76AAE"/>
    <w:rsid w:val="00F778F0"/>
    <w:rsid w:val="00F8038A"/>
    <w:rsid w:val="00F933FA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3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9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F77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78F0"/>
  </w:style>
  <w:style w:type="character" w:styleId="Odwoanieprzypisukocowego">
    <w:name w:val="endnote reference"/>
    <w:basedOn w:val="Domylnaczcionkaakapitu"/>
    <w:rsid w:val="00F778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3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9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F77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78F0"/>
  </w:style>
  <w:style w:type="character" w:styleId="Odwoanieprzypisukocowego">
    <w:name w:val="endnote reference"/>
    <w:basedOn w:val="Domylnaczcionkaakapitu"/>
    <w:rsid w:val="00F7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5</cp:revision>
  <cp:lastPrinted>2018-12-06T09:33:00Z</cp:lastPrinted>
  <dcterms:created xsi:type="dcterms:W3CDTF">2018-12-06T09:33:00Z</dcterms:created>
  <dcterms:modified xsi:type="dcterms:W3CDTF">2018-12-06T10:06:00Z</dcterms:modified>
</cp:coreProperties>
</file>