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FFF61C" w14:textId="77777777" w:rsidR="00435B70" w:rsidRPr="0096234B" w:rsidRDefault="00435B70" w:rsidP="007E283C">
      <w:pPr>
        <w:rPr>
          <w:rFonts w:cs="Arial"/>
          <w:b/>
          <w:szCs w:val="18"/>
        </w:rPr>
      </w:pPr>
    </w:p>
    <w:p w14:paraId="169161D9" w14:textId="4F0BE1F5" w:rsidR="00435B70" w:rsidRPr="0096234B" w:rsidRDefault="00435B70" w:rsidP="007E283C">
      <w:pPr>
        <w:rPr>
          <w:rFonts w:cs="Arial"/>
          <w:szCs w:val="18"/>
        </w:rPr>
      </w:pPr>
      <w:r w:rsidRPr="0096234B">
        <w:rPr>
          <w:rFonts w:cs="Arial"/>
          <w:b/>
          <w:szCs w:val="18"/>
        </w:rPr>
        <w:t>Datum:</w:t>
      </w:r>
      <w:r w:rsidRPr="0096234B">
        <w:rPr>
          <w:rFonts w:cs="Arial"/>
          <w:szCs w:val="18"/>
        </w:rPr>
        <w:t xml:space="preserve"> </w:t>
      </w:r>
      <w:r w:rsidR="00F32C7C">
        <w:rPr>
          <w:rFonts w:cs="Arial"/>
          <w:szCs w:val="18"/>
        </w:rPr>
        <w:t>4</w:t>
      </w:r>
      <w:r w:rsidR="00966564">
        <w:rPr>
          <w:rFonts w:cs="Arial"/>
          <w:szCs w:val="18"/>
        </w:rPr>
        <w:t xml:space="preserve">. </w:t>
      </w:r>
      <w:r w:rsidR="00F32C7C">
        <w:rPr>
          <w:rFonts w:cs="Arial"/>
          <w:szCs w:val="18"/>
        </w:rPr>
        <w:t>Oktober</w:t>
      </w:r>
      <w:r w:rsidRPr="0096234B">
        <w:rPr>
          <w:rFonts w:cs="Arial"/>
          <w:szCs w:val="18"/>
        </w:rPr>
        <w:t xml:space="preserve"> 2021</w:t>
      </w:r>
    </w:p>
    <w:p w14:paraId="626374DB" w14:textId="1C00D34F" w:rsidR="00435B70" w:rsidRPr="0096234B" w:rsidRDefault="00435B70" w:rsidP="007E283C">
      <w:pPr>
        <w:rPr>
          <w:rFonts w:cs="Arial"/>
          <w:szCs w:val="18"/>
        </w:rPr>
      </w:pPr>
    </w:p>
    <w:p w14:paraId="1F44E1BC" w14:textId="15E8568A" w:rsidR="00634335" w:rsidRPr="0096234B" w:rsidRDefault="00775BD4" w:rsidP="007E283C">
      <w:pPr>
        <w:rPr>
          <w:szCs w:val="18"/>
        </w:rPr>
      </w:pPr>
      <w:r>
        <w:rPr>
          <w:szCs w:val="18"/>
        </w:rPr>
        <w:t>Verglasungsklötze: Kleines Bauteil mit großer Wirkung / Umfassendes „Glas-</w:t>
      </w:r>
      <w:proofErr w:type="spellStart"/>
      <w:r>
        <w:rPr>
          <w:szCs w:val="18"/>
        </w:rPr>
        <w:t>Tec</w:t>
      </w:r>
      <w:proofErr w:type="spellEnd"/>
      <w:r>
        <w:rPr>
          <w:szCs w:val="18"/>
        </w:rPr>
        <w:t>“-Sortiment von Roto / Konstante Qualität / 100 Prozent Neumaterial / Individualität aus einer Hand / Vielfältige Unterstützung / Exklusive Verträglichkeitsprüfungen / Schutz vor Risiken</w:t>
      </w:r>
    </w:p>
    <w:p w14:paraId="3094A923" w14:textId="77777777" w:rsidR="00634335" w:rsidRPr="0096234B" w:rsidRDefault="00634335" w:rsidP="007E283C">
      <w:pPr>
        <w:rPr>
          <w:szCs w:val="18"/>
        </w:rPr>
      </w:pPr>
    </w:p>
    <w:p w14:paraId="52297443" w14:textId="1BB486B6" w:rsidR="00634335" w:rsidRPr="0096234B" w:rsidRDefault="00775BD4" w:rsidP="007E283C">
      <w:pPr>
        <w:widowControl w:val="0"/>
        <w:autoSpaceDE w:val="0"/>
        <w:autoSpaceDN w:val="0"/>
        <w:adjustRightInd w:val="0"/>
        <w:rPr>
          <w:rFonts w:eastAsia="MS Mincho" w:cs="Century Gothic"/>
          <w:b/>
          <w:color w:val="FFFFFF" w:themeColor="background1"/>
          <w:szCs w:val="18"/>
          <w:lang w:eastAsia="ja-JP"/>
        </w:rPr>
      </w:pPr>
      <w:r>
        <w:rPr>
          <w:rFonts w:eastAsia="MS Mincho" w:cs="Century Gothic"/>
          <w:b/>
          <w:szCs w:val="18"/>
          <w:lang w:eastAsia="ja-JP"/>
        </w:rPr>
        <w:t>Verglasung: Auf der sicheren Seite</w:t>
      </w:r>
    </w:p>
    <w:p w14:paraId="1B5E124C" w14:textId="77777777" w:rsidR="00634335" w:rsidRPr="0096234B" w:rsidRDefault="00634335" w:rsidP="007E283C">
      <w:pPr>
        <w:rPr>
          <w:b/>
          <w:szCs w:val="18"/>
        </w:rPr>
      </w:pPr>
    </w:p>
    <w:p w14:paraId="300F1055" w14:textId="3CC7B2EC" w:rsidR="00634335" w:rsidRDefault="00634335" w:rsidP="007E283C">
      <w:pPr>
        <w:rPr>
          <w:bCs/>
          <w:iCs/>
          <w:szCs w:val="18"/>
        </w:rPr>
      </w:pPr>
      <w:r w:rsidRPr="0096234B">
        <w:rPr>
          <w:b/>
          <w:i/>
          <w:szCs w:val="18"/>
        </w:rPr>
        <w:t xml:space="preserve">Leinfelden-Echterdingen – </w:t>
      </w:r>
      <w:r w:rsidR="006460FD">
        <w:rPr>
          <w:bCs/>
          <w:iCs/>
          <w:szCs w:val="18"/>
        </w:rPr>
        <w:t xml:space="preserve">Sie sind das vielleicht am stärksten unterschätzte Bauteil in der Gesamtkonstruktion „Fenster“: Verglasungsklötze. Dabei spielen </w:t>
      </w:r>
      <w:r w:rsidR="002A2918">
        <w:rPr>
          <w:bCs/>
          <w:iCs/>
          <w:szCs w:val="18"/>
        </w:rPr>
        <w:t>s</w:t>
      </w:r>
      <w:r w:rsidR="006460FD">
        <w:rPr>
          <w:bCs/>
          <w:iCs/>
          <w:szCs w:val="18"/>
        </w:rPr>
        <w:t xml:space="preserve">ie als einzige Verbindung zwischen Rahmen und Glaskante eine zentrale Rolle. Denn: Sie leiten die Last des Glasgewichtes komplett in den Rahmen ab, bewirken dauerhaft die einwandfreie Funktion des Elementes und sorgen für die sichere Lagerung der Verglasung. </w:t>
      </w:r>
      <w:r w:rsidR="002A2918">
        <w:rPr>
          <w:bCs/>
          <w:iCs/>
          <w:szCs w:val="18"/>
        </w:rPr>
        <w:t xml:space="preserve">Damit erweisen sie sich </w:t>
      </w:r>
      <w:r w:rsidR="006460FD">
        <w:rPr>
          <w:bCs/>
          <w:iCs/>
          <w:szCs w:val="18"/>
        </w:rPr>
        <w:t>letztlich als wichtiger Stabilisator der ganzen Gebäudefassade. Ohne ein „konstant hohes Qualitätsniveau“ lassen sich die vielfältigen Aufgaben in der Praxis aber nicht erfüllen, betont Roto Fenster- und Türtechnologie (FTT).</w:t>
      </w:r>
    </w:p>
    <w:p w14:paraId="2A94EAD1" w14:textId="2E011C02" w:rsidR="006460FD" w:rsidRDefault="006460FD" w:rsidP="007E283C">
      <w:pPr>
        <w:rPr>
          <w:bCs/>
          <w:iCs/>
          <w:szCs w:val="18"/>
        </w:rPr>
      </w:pPr>
    </w:p>
    <w:p w14:paraId="61D66FAA" w14:textId="7417D6D1" w:rsidR="006460FD" w:rsidRDefault="006460FD" w:rsidP="007E283C">
      <w:pPr>
        <w:rPr>
          <w:bCs/>
          <w:iCs/>
          <w:szCs w:val="18"/>
        </w:rPr>
      </w:pPr>
      <w:r>
        <w:rPr>
          <w:bCs/>
          <w:iCs/>
          <w:szCs w:val="18"/>
        </w:rPr>
        <w:t>Für Fensterhersteller und ausführende Betriebe</w:t>
      </w:r>
      <w:r w:rsidR="002A2918">
        <w:rPr>
          <w:bCs/>
          <w:iCs/>
          <w:szCs w:val="18"/>
        </w:rPr>
        <w:t xml:space="preserve"> komme es</w:t>
      </w:r>
      <w:r>
        <w:rPr>
          <w:bCs/>
          <w:iCs/>
          <w:szCs w:val="18"/>
        </w:rPr>
        <w:t xml:space="preserve"> im Eigen- und zugleich Kundeninteresse deshalb in erster Linie darauf an, sich für ebenso reklamationssichere wie bedarfsgerechte Lösungen zu entscheiden. Da</w:t>
      </w:r>
      <w:r w:rsidR="002A2918">
        <w:rPr>
          <w:bCs/>
          <w:iCs/>
          <w:szCs w:val="18"/>
        </w:rPr>
        <w:t>zu zähle</w:t>
      </w:r>
      <w:r>
        <w:rPr>
          <w:bCs/>
          <w:iCs/>
          <w:szCs w:val="18"/>
        </w:rPr>
        <w:t xml:space="preserve"> das umfassende „Glas-</w:t>
      </w:r>
      <w:proofErr w:type="spellStart"/>
      <w:r>
        <w:rPr>
          <w:bCs/>
          <w:iCs/>
          <w:szCs w:val="18"/>
        </w:rPr>
        <w:t>Tec</w:t>
      </w:r>
      <w:proofErr w:type="spellEnd"/>
      <w:r>
        <w:rPr>
          <w:bCs/>
          <w:iCs/>
          <w:szCs w:val="18"/>
        </w:rPr>
        <w:t>“-Portfoli</w:t>
      </w:r>
      <w:r w:rsidR="002A2918">
        <w:rPr>
          <w:bCs/>
          <w:iCs/>
          <w:szCs w:val="18"/>
        </w:rPr>
        <w:t>o</w:t>
      </w:r>
      <w:r>
        <w:rPr>
          <w:bCs/>
          <w:iCs/>
          <w:szCs w:val="18"/>
        </w:rPr>
        <w:t xml:space="preserve"> des Bauzulieferers, da es die nötige Individualität bei unterschiedlichen Rahmenkonstruktionen, Glasstärken und Auflagebedingungen garantiere. So decke es mit </w:t>
      </w:r>
      <w:r w:rsidR="00F32C7C">
        <w:rPr>
          <w:bCs/>
          <w:iCs/>
          <w:szCs w:val="18"/>
        </w:rPr>
        <w:t>einer großen Zahl von</w:t>
      </w:r>
      <w:r>
        <w:rPr>
          <w:bCs/>
          <w:iCs/>
          <w:szCs w:val="18"/>
        </w:rPr>
        <w:t xml:space="preserve"> Einzelprodukten etwa für</w:t>
      </w:r>
      <w:r w:rsidR="00CC7B48">
        <w:rPr>
          <w:bCs/>
          <w:iCs/>
          <w:szCs w:val="18"/>
        </w:rPr>
        <w:t xml:space="preserve"> 3-</w:t>
      </w:r>
      <w:r>
        <w:rPr>
          <w:bCs/>
          <w:iCs/>
          <w:szCs w:val="18"/>
        </w:rPr>
        <w:t xml:space="preserve">fach-Verglasung, schwere Flügelgewichte und </w:t>
      </w:r>
      <w:r w:rsidR="00F32C7C">
        <w:rPr>
          <w:bCs/>
          <w:iCs/>
          <w:szCs w:val="18"/>
        </w:rPr>
        <w:t>überstehende Verglasungen</w:t>
      </w:r>
      <w:r>
        <w:rPr>
          <w:bCs/>
          <w:iCs/>
          <w:szCs w:val="18"/>
        </w:rPr>
        <w:t xml:space="preserve"> alle Praxisanforderungen ab. Die ausschließliche Verwendung von 100 Prozent Kunststoff-Neumaterial sorge für Qualität und Langlebigkeit. Außerdem habe das </w:t>
      </w:r>
      <w:proofErr w:type="spellStart"/>
      <w:r>
        <w:rPr>
          <w:bCs/>
          <w:iCs/>
          <w:szCs w:val="18"/>
        </w:rPr>
        <w:t>ift</w:t>
      </w:r>
      <w:proofErr w:type="spellEnd"/>
      <w:r>
        <w:rPr>
          <w:bCs/>
          <w:iCs/>
          <w:szCs w:val="18"/>
        </w:rPr>
        <w:t xml:space="preserve"> Rosenheim die in den Technischen Richtlinien (TR) 3 des Glaserhandwerks vorgeschriebene Druckfestigkeit des Sortimentes mit speziellen Prüfverfahren bestätigt.</w:t>
      </w:r>
    </w:p>
    <w:p w14:paraId="048E7D1C" w14:textId="696243B5" w:rsidR="006460FD" w:rsidRDefault="006460FD" w:rsidP="007E283C">
      <w:pPr>
        <w:rPr>
          <w:bCs/>
          <w:iCs/>
          <w:szCs w:val="18"/>
        </w:rPr>
      </w:pPr>
    </w:p>
    <w:p w14:paraId="79CC5ADB" w14:textId="4D5AF3AF" w:rsidR="006460FD" w:rsidRDefault="00F32C7C" w:rsidP="007E283C">
      <w:pPr>
        <w:rPr>
          <w:bCs/>
          <w:iCs/>
          <w:szCs w:val="18"/>
        </w:rPr>
      </w:pPr>
      <w:r>
        <w:rPr>
          <w:bCs/>
          <w:iCs/>
          <w:szCs w:val="18"/>
        </w:rPr>
        <w:t>D</w:t>
      </w:r>
      <w:r w:rsidR="006460FD">
        <w:rPr>
          <w:bCs/>
          <w:iCs/>
          <w:szCs w:val="18"/>
        </w:rPr>
        <w:t>as breite</w:t>
      </w:r>
      <w:r>
        <w:rPr>
          <w:bCs/>
          <w:iCs/>
          <w:szCs w:val="18"/>
        </w:rPr>
        <w:t xml:space="preserve"> Spektrum</w:t>
      </w:r>
      <w:r w:rsidR="00A521AE">
        <w:rPr>
          <w:bCs/>
          <w:iCs/>
          <w:szCs w:val="18"/>
        </w:rPr>
        <w:t xml:space="preserve"> sei</w:t>
      </w:r>
      <w:r w:rsidR="006460FD">
        <w:rPr>
          <w:bCs/>
          <w:iCs/>
          <w:szCs w:val="18"/>
        </w:rPr>
        <w:t xml:space="preserve"> alterungs- und temperaturbeständig sowie mit vielen Randverbund-Dichtstoffen der </w:t>
      </w:r>
      <w:r w:rsidR="002A2918">
        <w:rPr>
          <w:bCs/>
          <w:iCs/>
          <w:szCs w:val="18"/>
        </w:rPr>
        <w:t>Isol</w:t>
      </w:r>
      <w:r w:rsidR="006460FD">
        <w:rPr>
          <w:bCs/>
          <w:iCs/>
          <w:szCs w:val="18"/>
        </w:rPr>
        <w:t>ierglasscheibe verträglich</w:t>
      </w:r>
      <w:r w:rsidR="00A521AE">
        <w:rPr>
          <w:bCs/>
          <w:iCs/>
          <w:szCs w:val="18"/>
        </w:rPr>
        <w:t>. Exemplarisch</w:t>
      </w:r>
      <w:r w:rsidR="006460FD">
        <w:rPr>
          <w:bCs/>
          <w:iCs/>
          <w:szCs w:val="18"/>
        </w:rPr>
        <w:t xml:space="preserve"> geht Roto auf zwei Klotzbeispiele ein.</w:t>
      </w:r>
      <w:r w:rsidR="00CC7B48">
        <w:rPr>
          <w:bCs/>
          <w:iCs/>
          <w:szCs w:val="18"/>
        </w:rPr>
        <w:t xml:space="preserve"> Der für Standardverglasungen geeignete Typ „GL-SV“ gewährleiste durch ein verstärktes Stegsystem eine hohe Tragfähigkeit</w:t>
      </w:r>
      <w:r w:rsidR="00A521AE">
        <w:rPr>
          <w:bCs/>
          <w:iCs/>
          <w:szCs w:val="18"/>
        </w:rPr>
        <w:t xml:space="preserve"> und verfüge über einen Belüftungskanal, der den </w:t>
      </w:r>
      <w:proofErr w:type="spellStart"/>
      <w:r w:rsidR="00A521AE">
        <w:rPr>
          <w:bCs/>
          <w:iCs/>
          <w:szCs w:val="18"/>
        </w:rPr>
        <w:t>Falzraum</w:t>
      </w:r>
      <w:proofErr w:type="spellEnd"/>
      <w:r w:rsidR="00A521AE">
        <w:rPr>
          <w:bCs/>
          <w:iCs/>
          <w:szCs w:val="18"/>
        </w:rPr>
        <w:t xml:space="preserve"> zur Vermeidung von Glaskantenschäden ausreichend belüfte</w:t>
      </w:r>
      <w:r w:rsidR="00CC7B48">
        <w:rPr>
          <w:bCs/>
          <w:iCs/>
          <w:szCs w:val="18"/>
        </w:rPr>
        <w:t xml:space="preserve">. Der Typ „GL-B“ überzeuge u. a. durch seine Montagefreundlichkeit, da er dank zweier Bremsmembranen ohne zusätzliche Fixierungsmittel halte. </w:t>
      </w:r>
      <w:r w:rsidR="005C1081">
        <w:rPr>
          <w:bCs/>
          <w:iCs/>
          <w:szCs w:val="18"/>
        </w:rPr>
        <w:t xml:space="preserve">Das </w:t>
      </w:r>
      <w:r w:rsidR="00CC7B48">
        <w:rPr>
          <w:bCs/>
          <w:iCs/>
          <w:szCs w:val="18"/>
        </w:rPr>
        <w:t>Stegsystem mache ihn ferner dauerdruckstabil und belastbar.</w:t>
      </w:r>
    </w:p>
    <w:p w14:paraId="1A17B970" w14:textId="1B31AE2B" w:rsidR="00CC7B48" w:rsidRDefault="00CC7B48" w:rsidP="007E283C">
      <w:pPr>
        <w:rPr>
          <w:bCs/>
          <w:iCs/>
          <w:szCs w:val="18"/>
        </w:rPr>
      </w:pPr>
    </w:p>
    <w:p w14:paraId="5BF36F1A" w14:textId="3EE05235" w:rsidR="00CC7B48" w:rsidRDefault="00CC7B48" w:rsidP="007E283C">
      <w:pPr>
        <w:rPr>
          <w:bCs/>
          <w:iCs/>
          <w:szCs w:val="18"/>
        </w:rPr>
      </w:pPr>
      <w:r>
        <w:rPr>
          <w:bCs/>
          <w:iCs/>
          <w:szCs w:val="18"/>
        </w:rPr>
        <w:t>Ein weiteres Element effiziente</w:t>
      </w:r>
      <w:r w:rsidR="002A2918">
        <w:rPr>
          <w:bCs/>
          <w:iCs/>
          <w:szCs w:val="18"/>
        </w:rPr>
        <w:t>r</w:t>
      </w:r>
      <w:r>
        <w:rPr>
          <w:bCs/>
          <w:iCs/>
          <w:szCs w:val="18"/>
        </w:rPr>
        <w:t xml:space="preserve"> Verglasungstechnik seien profilspezifische Gl</w:t>
      </w:r>
      <w:r w:rsidR="002A2918">
        <w:rPr>
          <w:bCs/>
          <w:iCs/>
          <w:szCs w:val="18"/>
        </w:rPr>
        <w:t>a</w:t>
      </w:r>
      <w:r>
        <w:rPr>
          <w:bCs/>
          <w:iCs/>
          <w:szCs w:val="18"/>
        </w:rPr>
        <w:t xml:space="preserve">sfalzeinlagen. Den Angaben zufolge schaffen sie den unverzichtbaren Untergrund für geprüftes Klotzmaterial, sorgen für die ebene Auflage, unterstützen Falzraumbelüftung </w:t>
      </w:r>
      <w:r w:rsidR="002A2918">
        <w:rPr>
          <w:bCs/>
          <w:iCs/>
          <w:szCs w:val="18"/>
        </w:rPr>
        <w:t>und Lastabtragung</w:t>
      </w:r>
      <w:r>
        <w:rPr>
          <w:bCs/>
          <w:iCs/>
          <w:szCs w:val="18"/>
        </w:rPr>
        <w:t xml:space="preserve"> und sind im </w:t>
      </w:r>
      <w:proofErr w:type="spellStart"/>
      <w:r>
        <w:rPr>
          <w:bCs/>
          <w:iCs/>
          <w:szCs w:val="18"/>
        </w:rPr>
        <w:t>Falzraum</w:t>
      </w:r>
      <w:proofErr w:type="spellEnd"/>
      <w:r>
        <w:rPr>
          <w:bCs/>
          <w:iCs/>
          <w:szCs w:val="18"/>
        </w:rPr>
        <w:t xml:space="preserve"> </w:t>
      </w:r>
      <w:proofErr w:type="spellStart"/>
      <w:r>
        <w:rPr>
          <w:bCs/>
          <w:iCs/>
          <w:szCs w:val="18"/>
        </w:rPr>
        <w:t>klemmbar</w:t>
      </w:r>
      <w:proofErr w:type="spellEnd"/>
      <w:r>
        <w:rPr>
          <w:bCs/>
          <w:iCs/>
          <w:szCs w:val="18"/>
        </w:rPr>
        <w:t>. Klotzkellen komplettieren laut Roto das „Glas-</w:t>
      </w:r>
      <w:proofErr w:type="spellStart"/>
      <w:r>
        <w:rPr>
          <w:bCs/>
          <w:iCs/>
          <w:szCs w:val="18"/>
        </w:rPr>
        <w:t>Tec</w:t>
      </w:r>
      <w:proofErr w:type="spellEnd"/>
      <w:r>
        <w:rPr>
          <w:bCs/>
          <w:iCs/>
          <w:szCs w:val="18"/>
        </w:rPr>
        <w:t>“-Zubehörprogramm.</w:t>
      </w:r>
    </w:p>
    <w:p w14:paraId="0CEF13BD" w14:textId="3EBEA068" w:rsidR="00775BD4" w:rsidRDefault="00775BD4" w:rsidP="007E283C">
      <w:pPr>
        <w:rPr>
          <w:bCs/>
          <w:iCs/>
          <w:szCs w:val="18"/>
        </w:rPr>
      </w:pPr>
    </w:p>
    <w:p w14:paraId="321C97DD" w14:textId="0DFACA36" w:rsidR="00A521AE" w:rsidRDefault="00A521AE" w:rsidP="007E283C">
      <w:pPr>
        <w:rPr>
          <w:bCs/>
          <w:iCs/>
          <w:szCs w:val="18"/>
        </w:rPr>
      </w:pPr>
    </w:p>
    <w:p w14:paraId="692C33AF" w14:textId="5FC7B802" w:rsidR="00A521AE" w:rsidRDefault="00A521AE" w:rsidP="007E283C">
      <w:pPr>
        <w:rPr>
          <w:bCs/>
          <w:iCs/>
          <w:szCs w:val="18"/>
        </w:rPr>
      </w:pPr>
    </w:p>
    <w:p w14:paraId="0BEB1319" w14:textId="77777777" w:rsidR="00A521AE" w:rsidRDefault="00A521AE" w:rsidP="007E283C">
      <w:pPr>
        <w:rPr>
          <w:bCs/>
          <w:iCs/>
          <w:szCs w:val="18"/>
        </w:rPr>
      </w:pPr>
    </w:p>
    <w:p w14:paraId="64AFC4D6" w14:textId="151D5342" w:rsidR="00BB56A8" w:rsidRPr="002A2918" w:rsidRDefault="002A2918" w:rsidP="007E283C">
      <w:pPr>
        <w:rPr>
          <w:b/>
          <w:iCs/>
          <w:szCs w:val="18"/>
        </w:rPr>
      </w:pPr>
      <w:r w:rsidRPr="002A2918">
        <w:rPr>
          <w:b/>
          <w:iCs/>
          <w:szCs w:val="18"/>
        </w:rPr>
        <w:lastRenderedPageBreak/>
        <w:t>Geschützte Partner</w:t>
      </w:r>
    </w:p>
    <w:p w14:paraId="3966484D" w14:textId="23F089B7" w:rsidR="00BB56A8" w:rsidRDefault="00BB56A8" w:rsidP="007E283C">
      <w:pPr>
        <w:rPr>
          <w:bCs/>
          <w:iCs/>
          <w:szCs w:val="18"/>
        </w:rPr>
      </w:pPr>
    </w:p>
    <w:p w14:paraId="5DDFFFDB" w14:textId="01F33B8C" w:rsidR="00BB56A8" w:rsidRDefault="002A2918" w:rsidP="007E283C">
      <w:pPr>
        <w:rPr>
          <w:bCs/>
          <w:iCs/>
          <w:szCs w:val="18"/>
        </w:rPr>
      </w:pPr>
      <w:r>
        <w:rPr>
          <w:bCs/>
          <w:iCs/>
          <w:szCs w:val="18"/>
        </w:rPr>
        <w:t>Wichtige</w:t>
      </w:r>
      <w:r w:rsidR="00BB56A8">
        <w:rPr>
          <w:bCs/>
          <w:iCs/>
          <w:szCs w:val="18"/>
        </w:rPr>
        <w:t xml:space="preserve"> Beiträge zu einer fachgerechten und damit langfristig sicheren </w:t>
      </w:r>
      <w:proofErr w:type="spellStart"/>
      <w:r w:rsidR="00BB56A8">
        <w:rPr>
          <w:bCs/>
          <w:iCs/>
          <w:szCs w:val="18"/>
        </w:rPr>
        <w:t>Verklotzung</w:t>
      </w:r>
      <w:proofErr w:type="spellEnd"/>
      <w:r w:rsidR="00BB56A8">
        <w:rPr>
          <w:bCs/>
          <w:iCs/>
          <w:szCs w:val="18"/>
        </w:rPr>
        <w:t xml:space="preserve"> leiste zudem ein im Wettbewerbsvergleich „klar überlegenes“ Unterstützungspaket. Auch dabei profitierten die Kunden von der anerkannten Kompetenz, die auf der bereits 2008 erfolgten Integration des Marktführers </w:t>
      </w:r>
      <w:proofErr w:type="spellStart"/>
      <w:r w:rsidR="00BB56A8">
        <w:rPr>
          <w:bCs/>
          <w:iCs/>
          <w:szCs w:val="18"/>
        </w:rPr>
        <w:t>Glus</w:t>
      </w:r>
      <w:r>
        <w:rPr>
          <w:bCs/>
          <w:iCs/>
          <w:szCs w:val="18"/>
        </w:rPr>
        <w:t>k</w:t>
      </w:r>
      <w:r w:rsidR="00BB56A8">
        <w:rPr>
          <w:bCs/>
          <w:iCs/>
          <w:szCs w:val="18"/>
        </w:rPr>
        <w:t>e</w:t>
      </w:r>
      <w:proofErr w:type="spellEnd"/>
      <w:r w:rsidR="00BB56A8">
        <w:rPr>
          <w:bCs/>
          <w:iCs/>
          <w:szCs w:val="18"/>
        </w:rPr>
        <w:t>-BKV in die Roto-Gruppe beruhe. Die Palette erstrecke sich von projektspezifischen Beratungen über eine exklusive 32-seitige „Klotzfibel“</w:t>
      </w:r>
      <w:r w:rsidR="004E6FB4">
        <w:rPr>
          <w:bCs/>
          <w:iCs/>
          <w:szCs w:val="18"/>
        </w:rPr>
        <w:t xml:space="preserve"> bis zu einem in der Branche „einzigartigen“ Prüfservice.</w:t>
      </w:r>
    </w:p>
    <w:p w14:paraId="24F397F6" w14:textId="301978BB" w:rsidR="004E6FB4" w:rsidRDefault="004E6FB4" w:rsidP="007E283C">
      <w:pPr>
        <w:rPr>
          <w:bCs/>
          <w:iCs/>
          <w:szCs w:val="18"/>
        </w:rPr>
      </w:pPr>
    </w:p>
    <w:p w14:paraId="28CB7291" w14:textId="11B27797" w:rsidR="00F861DB" w:rsidRDefault="004E6FB4" w:rsidP="007E283C">
      <w:pPr>
        <w:rPr>
          <w:bCs/>
          <w:iCs/>
          <w:szCs w:val="18"/>
        </w:rPr>
      </w:pPr>
      <w:r>
        <w:rPr>
          <w:bCs/>
          <w:iCs/>
          <w:szCs w:val="18"/>
        </w:rPr>
        <w:t xml:space="preserve">In einem eigenen, QM 330-zertifizierten Labor werden, wie es heißt, gemäß </w:t>
      </w:r>
      <w:proofErr w:type="spellStart"/>
      <w:r>
        <w:rPr>
          <w:bCs/>
          <w:iCs/>
          <w:szCs w:val="18"/>
        </w:rPr>
        <w:t>ift</w:t>
      </w:r>
      <w:proofErr w:type="spellEnd"/>
      <w:r>
        <w:rPr>
          <w:bCs/>
          <w:iCs/>
          <w:szCs w:val="18"/>
        </w:rPr>
        <w:t>-Regeln Randverbund-Dichtstoffe und Verbund-Sicherheitsglas</w:t>
      </w:r>
      <w:r w:rsidR="001052CA">
        <w:rPr>
          <w:bCs/>
          <w:iCs/>
          <w:szCs w:val="18"/>
        </w:rPr>
        <w:t>-F</w:t>
      </w:r>
      <w:r>
        <w:rPr>
          <w:bCs/>
          <w:iCs/>
          <w:szCs w:val="18"/>
        </w:rPr>
        <w:t>olien auf ihre Verträglichkeit mit den Verglasungsklötzen untersucht. Negative Resultate seien oft die Ursache großer Schäden an Fensterflügeln, Gläsern und nicht selten sogar an der Gesamtkonstruktion. Durch die Prüfungen schütze der Fenster- und Türtechnikspezialist seine Partner also konkret vor haftungsrelevanten Risiken. Detailinformationen und ein Montagevideo finden Interessenten unter</w:t>
      </w:r>
      <w:r w:rsidR="001052CA">
        <w:rPr>
          <w:bCs/>
          <w:iCs/>
          <w:szCs w:val="18"/>
        </w:rPr>
        <w:t xml:space="preserve"> </w:t>
      </w:r>
      <w:r w:rsidR="001052CA" w:rsidRPr="001052CA">
        <w:rPr>
          <w:bCs/>
          <w:iCs/>
          <w:szCs w:val="18"/>
        </w:rPr>
        <w:t>https://ftt.roto-frank.com/de-de/produkte/details/roto-glas-tec</w:t>
      </w:r>
      <w:r w:rsidR="001052CA">
        <w:rPr>
          <w:bCs/>
          <w:iCs/>
          <w:szCs w:val="18"/>
        </w:rPr>
        <w:t>.</w:t>
      </w:r>
    </w:p>
    <w:p w14:paraId="30EA6728" w14:textId="77777777" w:rsidR="001052CA" w:rsidRPr="0096234B" w:rsidRDefault="001052CA" w:rsidP="007E283C">
      <w:pPr>
        <w:rPr>
          <w:bCs/>
          <w:iCs/>
          <w:szCs w:val="18"/>
        </w:rPr>
      </w:pPr>
    </w:p>
    <w:p w14:paraId="060BD343" w14:textId="77777777" w:rsidR="00CC37E3" w:rsidRPr="0096234B" w:rsidRDefault="00CC37E3" w:rsidP="007E283C">
      <w:pPr>
        <w:rPr>
          <w:bCs/>
          <w:iCs/>
          <w:szCs w:val="18"/>
        </w:rPr>
      </w:pPr>
    </w:p>
    <w:p w14:paraId="650A6FDA" w14:textId="77777777" w:rsidR="00775BD4" w:rsidRDefault="00775BD4" w:rsidP="007E283C">
      <w:pPr>
        <w:rPr>
          <w:bCs/>
          <w:iCs/>
          <w:szCs w:val="18"/>
        </w:rPr>
      </w:pPr>
    </w:p>
    <w:p w14:paraId="4A46C68A" w14:textId="183B6F3B" w:rsidR="00D40967" w:rsidRDefault="00D40967" w:rsidP="007E283C">
      <w:pPr>
        <w:rPr>
          <w:bCs/>
          <w:iCs/>
          <w:szCs w:val="18"/>
        </w:rPr>
      </w:pPr>
    </w:p>
    <w:p w14:paraId="0A3BD3F1" w14:textId="77777777" w:rsidR="00634335" w:rsidRPr="0096234B" w:rsidRDefault="00634335" w:rsidP="007E283C">
      <w:pPr>
        <w:rPr>
          <w:bCs/>
          <w:iCs/>
          <w:szCs w:val="18"/>
        </w:rPr>
      </w:pPr>
    </w:p>
    <w:p w14:paraId="343E7E8C" w14:textId="38C1AEB9" w:rsidR="00634335" w:rsidRPr="0096234B" w:rsidRDefault="00634335" w:rsidP="007E283C">
      <w:pPr>
        <w:rPr>
          <w:b/>
          <w:szCs w:val="18"/>
        </w:rPr>
      </w:pPr>
      <w:r w:rsidRPr="0096234B">
        <w:rPr>
          <w:b/>
          <w:szCs w:val="18"/>
        </w:rPr>
        <w:t>Bildunterschrift</w:t>
      </w:r>
      <w:r w:rsidR="00EB00B2" w:rsidRPr="0096234B">
        <w:rPr>
          <w:b/>
          <w:szCs w:val="18"/>
        </w:rPr>
        <w:t>en</w:t>
      </w:r>
    </w:p>
    <w:p w14:paraId="5C898AF6" w14:textId="77777777" w:rsidR="00634335" w:rsidRPr="0096234B" w:rsidRDefault="00634335" w:rsidP="007E283C">
      <w:pPr>
        <w:tabs>
          <w:tab w:val="right" w:pos="6804"/>
        </w:tabs>
        <w:rPr>
          <w:szCs w:val="18"/>
        </w:rPr>
      </w:pPr>
    </w:p>
    <w:p w14:paraId="23A4F1DC" w14:textId="75B0D200" w:rsidR="00634335" w:rsidRPr="0096234B" w:rsidRDefault="001052CA" w:rsidP="007E283C">
      <w:pPr>
        <w:tabs>
          <w:tab w:val="right" w:pos="6804"/>
        </w:tabs>
        <w:rPr>
          <w:bCs/>
          <w:iCs/>
          <w:szCs w:val="18"/>
        </w:rPr>
      </w:pPr>
      <w:r>
        <w:rPr>
          <w:szCs w:val="18"/>
        </w:rPr>
        <w:t>Bedarfsgerechte Lösungen für die sichere Verglasung verspricht Roto Fenster- und Türtechnologie mit dem umfassenden „Glas-</w:t>
      </w:r>
      <w:proofErr w:type="spellStart"/>
      <w:r>
        <w:rPr>
          <w:szCs w:val="18"/>
        </w:rPr>
        <w:t>Tec</w:t>
      </w:r>
      <w:proofErr w:type="spellEnd"/>
      <w:r>
        <w:rPr>
          <w:szCs w:val="18"/>
        </w:rPr>
        <w:t xml:space="preserve">“-Portfolio. Dafür sorge einerseits das konstant hohe Qualitätsniveau der </w:t>
      </w:r>
      <w:r w:rsidR="00A521AE">
        <w:rPr>
          <w:szCs w:val="18"/>
        </w:rPr>
        <w:t>zahlreichen</w:t>
      </w:r>
      <w:r>
        <w:rPr>
          <w:szCs w:val="18"/>
        </w:rPr>
        <w:t xml:space="preserve"> Verglasungsklötze </w:t>
      </w:r>
      <w:r w:rsidR="00A521AE">
        <w:rPr>
          <w:szCs w:val="18"/>
        </w:rPr>
        <w:t>und Glasfalzeinlagen</w:t>
      </w:r>
      <w:r>
        <w:rPr>
          <w:szCs w:val="18"/>
        </w:rPr>
        <w:t xml:space="preserve">. Andererseits profitieren die Kunden von einem breiten Dienstleistungsspektrum, meldet der Bauzulieferer. Als „einzigartig“ bezeichnet er z. B. gemäß </w:t>
      </w:r>
      <w:proofErr w:type="spellStart"/>
      <w:r>
        <w:rPr>
          <w:szCs w:val="18"/>
        </w:rPr>
        <w:t>ift</w:t>
      </w:r>
      <w:proofErr w:type="spellEnd"/>
      <w:r>
        <w:rPr>
          <w:szCs w:val="18"/>
        </w:rPr>
        <w:t>-Regeln durchgeführte Materialverträglichkeitsprüfungen.</w:t>
      </w:r>
    </w:p>
    <w:p w14:paraId="09DF4D62" w14:textId="0F0F933D" w:rsidR="00634335" w:rsidRPr="0096234B" w:rsidRDefault="00634335" w:rsidP="007E283C">
      <w:pPr>
        <w:tabs>
          <w:tab w:val="right" w:pos="6804"/>
        </w:tabs>
        <w:rPr>
          <w:rFonts w:eastAsia="Times"/>
          <w:b/>
          <w:szCs w:val="18"/>
          <w:lang w:val="it-IT"/>
        </w:rPr>
      </w:pPr>
      <w:r w:rsidRPr="0096234B">
        <w:rPr>
          <w:rFonts w:eastAsia="Times"/>
          <w:b/>
          <w:szCs w:val="18"/>
          <w:lang w:val="it-IT"/>
        </w:rPr>
        <w:t xml:space="preserve">Foto: </w:t>
      </w:r>
      <w:r w:rsidRPr="0096234B">
        <w:rPr>
          <w:rFonts w:eastAsia="Times"/>
          <w:szCs w:val="18"/>
          <w:lang w:val="it-IT"/>
        </w:rPr>
        <w:t>Roto</w:t>
      </w:r>
      <w:r w:rsidRPr="0096234B">
        <w:rPr>
          <w:rFonts w:eastAsia="Times"/>
          <w:b/>
          <w:szCs w:val="18"/>
          <w:lang w:val="it-IT"/>
        </w:rPr>
        <w:tab/>
      </w:r>
      <w:r w:rsidR="001052CA">
        <w:rPr>
          <w:rFonts w:eastAsia="Times"/>
          <w:b/>
          <w:szCs w:val="18"/>
          <w:lang w:val="it-IT"/>
        </w:rPr>
        <w:t>KV_Glas</w:t>
      </w:r>
      <w:r w:rsidR="00694DEF">
        <w:rPr>
          <w:rFonts w:eastAsia="Times"/>
          <w:b/>
          <w:szCs w:val="18"/>
          <w:lang w:val="it-IT"/>
        </w:rPr>
        <w:t>_</w:t>
      </w:r>
      <w:r w:rsidR="001052CA">
        <w:rPr>
          <w:rFonts w:eastAsia="Times"/>
          <w:b/>
          <w:szCs w:val="18"/>
          <w:lang w:val="it-IT"/>
        </w:rPr>
        <w:t>Tec</w:t>
      </w:r>
      <w:r w:rsidRPr="0096234B">
        <w:rPr>
          <w:rFonts w:eastAsia="Times"/>
          <w:b/>
          <w:szCs w:val="18"/>
          <w:lang w:val="it-IT"/>
        </w:rPr>
        <w:t>.</w:t>
      </w:r>
      <w:r w:rsidR="004B2702" w:rsidRPr="0096234B">
        <w:rPr>
          <w:rFonts w:eastAsia="Times"/>
          <w:b/>
          <w:szCs w:val="18"/>
          <w:lang w:val="it-IT"/>
        </w:rPr>
        <w:t>jpg</w:t>
      </w:r>
    </w:p>
    <w:p w14:paraId="6AC61DFA" w14:textId="77777777" w:rsidR="005D3558" w:rsidRPr="0096234B" w:rsidRDefault="005D3558" w:rsidP="007E283C">
      <w:pPr>
        <w:rPr>
          <w:rFonts w:cs="Arial"/>
          <w:szCs w:val="18"/>
          <w:lang w:val="it-IT"/>
        </w:rPr>
      </w:pPr>
    </w:p>
    <w:p w14:paraId="6AC5F861" w14:textId="77777777" w:rsidR="00EB00B2" w:rsidRPr="0096234B" w:rsidRDefault="00EB00B2" w:rsidP="007E283C">
      <w:pPr>
        <w:tabs>
          <w:tab w:val="right" w:pos="6804"/>
        </w:tabs>
        <w:rPr>
          <w:szCs w:val="18"/>
        </w:rPr>
      </w:pPr>
    </w:p>
    <w:p w14:paraId="47D69C7F" w14:textId="1268750A" w:rsidR="00EB00B2" w:rsidRPr="0096234B" w:rsidRDefault="001052CA" w:rsidP="007E283C">
      <w:pPr>
        <w:tabs>
          <w:tab w:val="right" w:pos="6804"/>
        </w:tabs>
        <w:rPr>
          <w:bCs/>
          <w:iCs/>
          <w:szCs w:val="18"/>
        </w:rPr>
      </w:pPr>
      <w:r>
        <w:rPr>
          <w:szCs w:val="18"/>
        </w:rPr>
        <w:t>Sichtbare Individualität: Verglasungsklötze und Glasfalzeinlagen aus dem „Glas-</w:t>
      </w:r>
      <w:proofErr w:type="spellStart"/>
      <w:r>
        <w:rPr>
          <w:szCs w:val="18"/>
        </w:rPr>
        <w:t>Tec</w:t>
      </w:r>
      <w:proofErr w:type="spellEnd"/>
      <w:r>
        <w:rPr>
          <w:szCs w:val="18"/>
        </w:rPr>
        <w:t>“-Sortiment decken alle spezifischen Objektanforderungen ab, erklärt Roto Fenster- und Türtechnologie. Dabei bürge die ausschließliche Verwendung von 100 Prozent Kunststoff-Neumaterial für Qualität und Langlebigkeit.</w:t>
      </w:r>
    </w:p>
    <w:p w14:paraId="0F3E8656" w14:textId="3745EBAA" w:rsidR="00EB00B2" w:rsidRPr="0096234B" w:rsidRDefault="00EB00B2" w:rsidP="007E283C">
      <w:pPr>
        <w:tabs>
          <w:tab w:val="right" w:pos="6804"/>
        </w:tabs>
        <w:rPr>
          <w:rFonts w:eastAsia="Times"/>
          <w:b/>
          <w:szCs w:val="18"/>
          <w:lang w:val="it-IT"/>
        </w:rPr>
      </w:pPr>
      <w:r w:rsidRPr="0096234B">
        <w:rPr>
          <w:rFonts w:eastAsia="Times"/>
          <w:b/>
          <w:szCs w:val="18"/>
          <w:lang w:val="it-IT"/>
        </w:rPr>
        <w:t xml:space="preserve">Foto: </w:t>
      </w:r>
      <w:r w:rsidRPr="0096234B">
        <w:rPr>
          <w:rFonts w:eastAsia="Times"/>
          <w:szCs w:val="18"/>
          <w:lang w:val="it-IT"/>
        </w:rPr>
        <w:t>Roto</w:t>
      </w:r>
      <w:r w:rsidRPr="0096234B">
        <w:rPr>
          <w:rFonts w:eastAsia="Times"/>
          <w:b/>
          <w:szCs w:val="18"/>
          <w:lang w:val="it-IT"/>
        </w:rPr>
        <w:tab/>
      </w:r>
      <w:r w:rsidR="001052CA">
        <w:rPr>
          <w:rFonts w:eastAsia="Times"/>
          <w:b/>
          <w:szCs w:val="18"/>
          <w:lang w:val="it-IT"/>
        </w:rPr>
        <w:t>Glas</w:t>
      </w:r>
      <w:r w:rsidR="00694DEF">
        <w:rPr>
          <w:rFonts w:eastAsia="Times"/>
          <w:b/>
          <w:szCs w:val="18"/>
          <w:lang w:val="it-IT"/>
        </w:rPr>
        <w:t>_</w:t>
      </w:r>
      <w:bookmarkStart w:id="0" w:name="_GoBack"/>
      <w:bookmarkEnd w:id="0"/>
      <w:r w:rsidR="001052CA">
        <w:rPr>
          <w:rFonts w:eastAsia="Times"/>
          <w:b/>
          <w:szCs w:val="18"/>
          <w:lang w:val="it-IT"/>
        </w:rPr>
        <w:t>Tec_Composing</w:t>
      </w:r>
      <w:r w:rsidRPr="0096234B">
        <w:rPr>
          <w:rFonts w:eastAsia="Times"/>
          <w:b/>
          <w:szCs w:val="18"/>
          <w:lang w:val="it-IT"/>
        </w:rPr>
        <w:t>.jpg</w:t>
      </w:r>
    </w:p>
    <w:p w14:paraId="6CB44EAE" w14:textId="77777777" w:rsidR="00EB00B2" w:rsidRPr="0096234B" w:rsidRDefault="00EB00B2" w:rsidP="007E283C">
      <w:pPr>
        <w:rPr>
          <w:rFonts w:cs="Arial"/>
          <w:szCs w:val="18"/>
          <w:lang w:val="it-IT"/>
        </w:rPr>
      </w:pPr>
    </w:p>
    <w:p w14:paraId="0D44B4FF" w14:textId="1FE04101" w:rsidR="00D40967" w:rsidRPr="005C1081" w:rsidRDefault="00D40967" w:rsidP="007E283C">
      <w:pPr>
        <w:rPr>
          <w:rFonts w:cs="Arial"/>
          <w:szCs w:val="18"/>
          <w:lang w:val="en-US"/>
        </w:rPr>
      </w:pPr>
    </w:p>
    <w:p w14:paraId="792A76D6" w14:textId="6D1DE7C6" w:rsidR="00D40967" w:rsidRPr="005C1081" w:rsidRDefault="00D40967" w:rsidP="007E283C">
      <w:pPr>
        <w:rPr>
          <w:rFonts w:cs="Arial"/>
          <w:szCs w:val="18"/>
          <w:lang w:val="en-US"/>
        </w:rPr>
      </w:pPr>
    </w:p>
    <w:p w14:paraId="2F5196D5" w14:textId="6814459D" w:rsidR="00D40967" w:rsidRPr="005C1081" w:rsidRDefault="00D40967" w:rsidP="007E283C">
      <w:pPr>
        <w:rPr>
          <w:rFonts w:cs="Arial"/>
          <w:szCs w:val="18"/>
          <w:lang w:val="en-US"/>
        </w:rPr>
      </w:pPr>
    </w:p>
    <w:p w14:paraId="0B51DB5A" w14:textId="77777777" w:rsidR="00435B70" w:rsidRPr="00D17782" w:rsidRDefault="00435B70" w:rsidP="007E283C">
      <w:pPr>
        <w:rPr>
          <w:rFonts w:cs="Arial"/>
          <w:szCs w:val="18"/>
        </w:rPr>
      </w:pPr>
      <w:r w:rsidRPr="00D17782">
        <w:rPr>
          <w:rFonts w:cs="Arial"/>
          <w:szCs w:val="18"/>
        </w:rPr>
        <w:t>Abdruck frei - Beleg erbeten</w:t>
      </w:r>
    </w:p>
    <w:p w14:paraId="5E58D26D" w14:textId="5C8B5066" w:rsidR="00435B70" w:rsidRPr="00D17782" w:rsidRDefault="00435B70" w:rsidP="007E283C">
      <w:pPr>
        <w:rPr>
          <w:rFonts w:cs="Arial"/>
          <w:bCs/>
          <w:szCs w:val="18"/>
        </w:rPr>
      </w:pPr>
    </w:p>
    <w:p w14:paraId="6798439A" w14:textId="77777777" w:rsidR="000030AC" w:rsidRPr="00D17782" w:rsidRDefault="000030AC" w:rsidP="007E283C">
      <w:pPr>
        <w:rPr>
          <w:rFonts w:cs="Arial"/>
          <w:bCs/>
          <w:szCs w:val="18"/>
        </w:rPr>
      </w:pPr>
    </w:p>
    <w:p w14:paraId="108D8B6C" w14:textId="3D8A1537" w:rsidR="00435B70" w:rsidRPr="00D17782" w:rsidRDefault="00435B70" w:rsidP="007E283C">
      <w:pPr>
        <w:rPr>
          <w:rFonts w:cs="Arial"/>
          <w:szCs w:val="18"/>
        </w:rPr>
      </w:pPr>
      <w:r w:rsidRPr="00D17782">
        <w:rPr>
          <w:rFonts w:cs="Arial"/>
          <w:b/>
          <w:szCs w:val="18"/>
        </w:rPr>
        <w:t xml:space="preserve">Herausgeber: </w:t>
      </w:r>
      <w:r w:rsidRPr="00D17782">
        <w:rPr>
          <w:rFonts w:cs="Arial"/>
          <w:szCs w:val="18"/>
        </w:rPr>
        <w:t xml:space="preserve">Roto Frank Fenster- und Türtechnologie GmbH • Wilhelm-Frank-Platz 1 • 70771 Leinfelden-Echterdingen • Tel. +49 711 7598 0 • Fax +49 711 7598 253 • </w:t>
      </w:r>
      <w:r w:rsidRPr="00D17782">
        <w:rPr>
          <w:rFonts w:cs="Arial"/>
          <w:szCs w:val="18"/>
        </w:rPr>
        <w:br/>
        <w:t>info@roto-frank.com</w:t>
      </w:r>
    </w:p>
    <w:p w14:paraId="1A72200C" w14:textId="056873D0" w:rsidR="007E283C" w:rsidRPr="00D17782" w:rsidRDefault="00435B70">
      <w:pPr>
        <w:rPr>
          <w:rFonts w:cs="Arial"/>
          <w:szCs w:val="18"/>
        </w:rPr>
      </w:pPr>
      <w:r w:rsidRPr="00D17782">
        <w:rPr>
          <w:rFonts w:cs="Arial"/>
          <w:b/>
          <w:szCs w:val="18"/>
        </w:rPr>
        <w:t xml:space="preserve">Redaktion: </w:t>
      </w:r>
      <w:r w:rsidRPr="00D17782">
        <w:rPr>
          <w:rFonts w:cs="Arial"/>
          <w:szCs w:val="18"/>
        </w:rPr>
        <w:t>Linnigpublic Agentur für Öffentlichkeitsarbeit GmbH • Fritz-von-Unruh-Straße 1 • 56077 Koblenz • Tel. +49 261 303839 0 • Fax +49 261 303839 1 • koblenz@linnigpublic.de</w:t>
      </w:r>
    </w:p>
    <w:sectPr w:rsidR="007E283C" w:rsidRPr="00D17782" w:rsidSect="007E283C">
      <w:headerReference w:type="default" r:id="rId8"/>
      <w:footerReference w:type="even" r:id="rId9"/>
      <w:footerReference w:type="default" r:id="rId10"/>
      <w:headerReference w:type="first" r:id="rId11"/>
      <w:footerReference w:type="first" r:id="rId12"/>
      <w:pgSz w:w="11907" w:h="16840" w:code="9"/>
      <w:pgMar w:top="4139" w:right="2835"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4E95D" w14:textId="77777777" w:rsidR="00E0748A" w:rsidRDefault="00E0748A">
      <w:r>
        <w:separator/>
      </w:r>
    </w:p>
  </w:endnote>
  <w:endnote w:type="continuationSeparator" w:id="0">
    <w:p w14:paraId="78D92872" w14:textId="77777777" w:rsidR="00E0748A" w:rsidRDefault="00E07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Next W1G Light">
    <w:altName w:val="Univers Next W1G Light"/>
    <w:panose1 w:val="020B0403030202020203"/>
    <w:charset w:val="00"/>
    <w:family w:val="swiss"/>
    <w:notTrueType/>
    <w:pitch w:val="variable"/>
    <w:sig w:usb0="0000028F" w:usb1="00000001" w:usb2="00000000" w:usb3="00000000" w:csb0="0000009F" w:csb1="00000000"/>
  </w:font>
  <w:font w:name="Arial">
    <w:panose1 w:val="020B0604020202020204"/>
    <w:charset w:val="00"/>
    <w:family w:val="swiss"/>
    <w:pitch w:val="variable"/>
    <w:sig w:usb0="E0002EFF" w:usb1="C000785B" w:usb2="00000009" w:usb3="00000000" w:csb0="000001FF" w:csb1="00000000"/>
  </w:font>
  <w:font w:name="LTUnivers 430 BasicReg">
    <w:altName w:val="LTUnivers 430 BasicReg"/>
    <w:panose1 w:val="020B0603020202020204"/>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Times">
    <w:altName w:val="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234671112"/>
      <w:docPartObj>
        <w:docPartGallery w:val="Page Numbers (Bottom of Page)"/>
        <w:docPartUnique/>
      </w:docPartObj>
    </w:sdtPr>
    <w:sdtEndPr>
      <w:rPr>
        <w:rStyle w:val="Seitenzahl"/>
      </w:rPr>
    </w:sdtEndPr>
    <w:sdtContent>
      <w:p w14:paraId="411AF9D8" w14:textId="7D321FE3" w:rsidR="00EA12DF" w:rsidRDefault="00EA12DF" w:rsidP="00940B6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F37F767"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Fonts w:ascii="Arial" w:hAnsi="Arial" w:cs="Arial"/>
        <w:sz w:val="22"/>
        <w:szCs w:val="22"/>
      </w:rPr>
      <w:id w:val="978423995"/>
      <w:docPartObj>
        <w:docPartGallery w:val="Page Numbers (Bottom of Page)"/>
        <w:docPartUnique/>
      </w:docPartObj>
    </w:sdtPr>
    <w:sdtEndPr>
      <w:rPr>
        <w:rStyle w:val="Seitenzahl"/>
      </w:rPr>
    </w:sdtEndPr>
    <w:sdtContent>
      <w:p w14:paraId="7C4150B5" w14:textId="7E1793AB" w:rsidR="00EA12DF" w:rsidRPr="00EA12DF" w:rsidRDefault="00EA12DF" w:rsidP="00940B68">
        <w:pPr>
          <w:pStyle w:val="Fuzeile"/>
          <w:framePr w:wrap="none" w:vAnchor="text" w:hAnchor="margin" w:xAlign="right" w:y="1"/>
          <w:rPr>
            <w:rStyle w:val="Seitenzahl"/>
            <w:rFonts w:ascii="Arial" w:hAnsi="Arial" w:cs="Arial"/>
            <w:sz w:val="22"/>
            <w:szCs w:val="22"/>
          </w:rPr>
        </w:pPr>
        <w:r w:rsidRPr="00EA12DF">
          <w:rPr>
            <w:rStyle w:val="Seitenzahl"/>
            <w:rFonts w:ascii="Arial" w:hAnsi="Arial" w:cs="Arial"/>
            <w:sz w:val="22"/>
            <w:szCs w:val="22"/>
          </w:rPr>
          <w:fldChar w:fldCharType="begin"/>
        </w:r>
        <w:r w:rsidRPr="00EA12DF">
          <w:rPr>
            <w:rStyle w:val="Seitenzahl"/>
            <w:rFonts w:ascii="Arial" w:hAnsi="Arial" w:cs="Arial"/>
            <w:sz w:val="22"/>
            <w:szCs w:val="22"/>
          </w:rPr>
          <w:instrText xml:space="preserve"> PAGE </w:instrText>
        </w:r>
        <w:r w:rsidRPr="00EA12DF">
          <w:rPr>
            <w:rStyle w:val="Seitenzahl"/>
            <w:rFonts w:ascii="Arial" w:hAnsi="Arial" w:cs="Arial"/>
            <w:sz w:val="22"/>
            <w:szCs w:val="22"/>
          </w:rPr>
          <w:fldChar w:fldCharType="separate"/>
        </w:r>
        <w:r w:rsidR="00694DEF">
          <w:rPr>
            <w:rStyle w:val="Seitenzahl"/>
            <w:rFonts w:ascii="Arial" w:hAnsi="Arial" w:cs="Arial"/>
            <w:noProof/>
            <w:sz w:val="22"/>
            <w:szCs w:val="22"/>
          </w:rPr>
          <w:t>2</w:t>
        </w:r>
        <w:r w:rsidRPr="00EA12DF">
          <w:rPr>
            <w:rStyle w:val="Seitenzahl"/>
            <w:rFonts w:ascii="Arial" w:hAnsi="Arial" w:cs="Arial"/>
            <w:sz w:val="22"/>
            <w:szCs w:val="22"/>
          </w:rPr>
          <w:fldChar w:fldCharType="end"/>
        </w:r>
      </w:p>
    </w:sdtContent>
  </w:sdt>
  <w:p w14:paraId="6338271C" w14:textId="77777777" w:rsidR="00EA12DF" w:rsidRPr="00EA12DF" w:rsidRDefault="00EA12DF" w:rsidP="00EA12DF">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0AD7C"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C5C75" w14:textId="77777777" w:rsidR="00E0748A" w:rsidRDefault="00E0748A">
      <w:r>
        <w:separator/>
      </w:r>
    </w:p>
  </w:footnote>
  <w:footnote w:type="continuationSeparator" w:id="0">
    <w:p w14:paraId="475FE832" w14:textId="77777777" w:rsidR="00E0748A" w:rsidRDefault="00E07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42189" w14:textId="77777777" w:rsidR="00066ABD" w:rsidRDefault="002B1944">
    <w:pPr>
      <w:pStyle w:val="FirmenangabenFusszeile"/>
      <w:tabs>
        <w:tab w:val="left" w:pos="708"/>
      </w:tabs>
      <w:ind w:left="28"/>
      <w:rPr>
        <w:sz w:val="24"/>
      </w:rPr>
    </w:pPr>
    <w:r w:rsidRPr="002E243D">
      <w:rPr>
        <w:noProof/>
      </w:rPr>
      <w:drawing>
        <wp:anchor distT="0" distB="0" distL="114300" distR="114300" simplePos="0" relativeHeight="251669504" behindDoc="0" locked="0" layoutInCell="1" allowOverlap="1" wp14:anchorId="75B583C7" wp14:editId="4F8D5D5B">
          <wp:simplePos x="0" y="0"/>
          <wp:positionH relativeFrom="page">
            <wp:posOffset>5492750</wp:posOffset>
          </wp:positionH>
          <wp:positionV relativeFrom="page">
            <wp:posOffset>546100</wp:posOffset>
          </wp:positionV>
          <wp:extent cx="1803400" cy="90233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rPr>
      <w:drawing>
        <wp:anchor distT="0" distB="0" distL="114300" distR="114300" simplePos="0" relativeHeight="251671552" behindDoc="0" locked="0" layoutInCell="1" allowOverlap="1" wp14:anchorId="7D4353D5" wp14:editId="1AF4022D">
          <wp:simplePos x="0" y="0"/>
          <wp:positionH relativeFrom="page">
            <wp:posOffset>900430</wp:posOffset>
          </wp:positionH>
          <wp:positionV relativeFrom="page">
            <wp:posOffset>1036955</wp:posOffset>
          </wp:positionV>
          <wp:extent cx="2026800" cy="230400"/>
          <wp:effectExtent l="0" t="0" r="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7BE76486" w14:textId="68D7765A" w:rsidR="00066ABD" w:rsidRDefault="00066ABD">
    <w:pPr>
      <w:pStyle w:val="Kopfzeile"/>
    </w:pPr>
  </w:p>
  <w:p w14:paraId="77086E20"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0DDE2" w14:textId="77777777" w:rsidR="0096234B" w:rsidRDefault="0096234B" w:rsidP="0096234B">
    <w:pPr>
      <w:pStyle w:val="FirmenangabenFusszeile"/>
      <w:tabs>
        <w:tab w:val="left" w:pos="708"/>
      </w:tabs>
      <w:ind w:left="28"/>
      <w:rPr>
        <w:sz w:val="24"/>
      </w:rPr>
    </w:pPr>
    <w:r w:rsidRPr="00D6138A">
      <w:rPr>
        <w:noProof/>
        <w:sz w:val="24"/>
      </w:rPr>
      <w:drawing>
        <wp:anchor distT="0" distB="0" distL="114300" distR="114300" simplePos="0" relativeHeight="251673600" behindDoc="0" locked="0" layoutInCell="1" allowOverlap="1" wp14:anchorId="7B458D30" wp14:editId="36467342">
          <wp:simplePos x="0" y="0"/>
          <wp:positionH relativeFrom="page">
            <wp:posOffset>5498275</wp:posOffset>
          </wp:positionH>
          <wp:positionV relativeFrom="page">
            <wp:posOffset>534673</wp:posOffset>
          </wp:positionV>
          <wp:extent cx="1788539" cy="894836"/>
          <wp:effectExtent l="0" t="0" r="0" b="635"/>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rPr>
      <w:drawing>
        <wp:anchor distT="0" distB="0" distL="114300" distR="114300" simplePos="0" relativeHeight="251674624" behindDoc="0" locked="0" layoutInCell="1" allowOverlap="1" wp14:anchorId="47C07887" wp14:editId="3DDCACCF">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16ED04FD" w14:textId="77777777" w:rsidR="0096234B" w:rsidRDefault="0096234B" w:rsidP="0096234B">
    <w:pPr>
      <w:pStyle w:val="Presseinfo"/>
    </w:pPr>
  </w:p>
  <w:p w14:paraId="1DE5283E" w14:textId="77777777" w:rsidR="0096234B" w:rsidRDefault="0096234B" w:rsidP="0096234B">
    <w:pPr>
      <w:pStyle w:val="Presseinfo"/>
    </w:pPr>
    <w:r>
      <w:t>Presseinformation</w:t>
    </w:r>
  </w:p>
  <w:p w14:paraId="2CFA8B68" w14:textId="3AC01C11" w:rsidR="00127614" w:rsidRPr="0096234B" w:rsidRDefault="00127614" w:rsidP="0096234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4"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5"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547"/>
    <w:rsid w:val="000030AC"/>
    <w:rsid w:val="0000536F"/>
    <w:rsid w:val="00035C46"/>
    <w:rsid w:val="00044646"/>
    <w:rsid w:val="0004590F"/>
    <w:rsid w:val="00061A9B"/>
    <w:rsid w:val="0006203B"/>
    <w:rsid w:val="000631FD"/>
    <w:rsid w:val="0006573D"/>
    <w:rsid w:val="00066ABD"/>
    <w:rsid w:val="000727C6"/>
    <w:rsid w:val="00093DA8"/>
    <w:rsid w:val="000B1D7E"/>
    <w:rsid w:val="000C6C3F"/>
    <w:rsid w:val="000E1812"/>
    <w:rsid w:val="00103120"/>
    <w:rsid w:val="001052CA"/>
    <w:rsid w:val="00107781"/>
    <w:rsid w:val="00113C4C"/>
    <w:rsid w:val="0011554B"/>
    <w:rsid w:val="00120ADE"/>
    <w:rsid w:val="001270FB"/>
    <w:rsid w:val="00127614"/>
    <w:rsid w:val="001312E7"/>
    <w:rsid w:val="00136AA9"/>
    <w:rsid w:val="00144D7C"/>
    <w:rsid w:val="00151761"/>
    <w:rsid w:val="00167447"/>
    <w:rsid w:val="0018201A"/>
    <w:rsid w:val="001B47D7"/>
    <w:rsid w:val="001F4084"/>
    <w:rsid w:val="001F4C37"/>
    <w:rsid w:val="00204DAD"/>
    <w:rsid w:val="00207261"/>
    <w:rsid w:val="002103F4"/>
    <w:rsid w:val="0021708B"/>
    <w:rsid w:val="00246817"/>
    <w:rsid w:val="00270226"/>
    <w:rsid w:val="002A134C"/>
    <w:rsid w:val="002A2918"/>
    <w:rsid w:val="002B1944"/>
    <w:rsid w:val="002B35C0"/>
    <w:rsid w:val="002B4E8E"/>
    <w:rsid w:val="002C18E5"/>
    <w:rsid w:val="002C2A20"/>
    <w:rsid w:val="002D117D"/>
    <w:rsid w:val="002D4D5F"/>
    <w:rsid w:val="002D7DEE"/>
    <w:rsid w:val="002E11BB"/>
    <w:rsid w:val="002E243D"/>
    <w:rsid w:val="002E337D"/>
    <w:rsid w:val="002F0ECA"/>
    <w:rsid w:val="002F58AE"/>
    <w:rsid w:val="00301CD6"/>
    <w:rsid w:val="00315587"/>
    <w:rsid w:val="0031689A"/>
    <w:rsid w:val="003917D7"/>
    <w:rsid w:val="003A6E04"/>
    <w:rsid w:val="003E4566"/>
    <w:rsid w:val="003F01EA"/>
    <w:rsid w:val="00401D96"/>
    <w:rsid w:val="00413D2E"/>
    <w:rsid w:val="00415FE7"/>
    <w:rsid w:val="00422407"/>
    <w:rsid w:val="00422919"/>
    <w:rsid w:val="00435B70"/>
    <w:rsid w:val="0044374E"/>
    <w:rsid w:val="0045126D"/>
    <w:rsid w:val="0047018B"/>
    <w:rsid w:val="00474F53"/>
    <w:rsid w:val="00475DDF"/>
    <w:rsid w:val="004956A5"/>
    <w:rsid w:val="004A56D8"/>
    <w:rsid w:val="004B2702"/>
    <w:rsid w:val="004B7665"/>
    <w:rsid w:val="004B78C0"/>
    <w:rsid w:val="004B7998"/>
    <w:rsid w:val="004B7EE9"/>
    <w:rsid w:val="004C7B56"/>
    <w:rsid w:val="004E6FB4"/>
    <w:rsid w:val="004F5442"/>
    <w:rsid w:val="00512ECF"/>
    <w:rsid w:val="0051307F"/>
    <w:rsid w:val="005259AB"/>
    <w:rsid w:val="00534F9D"/>
    <w:rsid w:val="0057175B"/>
    <w:rsid w:val="00576DB5"/>
    <w:rsid w:val="0058139E"/>
    <w:rsid w:val="005834D9"/>
    <w:rsid w:val="005A24F0"/>
    <w:rsid w:val="005B2254"/>
    <w:rsid w:val="005C1081"/>
    <w:rsid w:val="005D16C6"/>
    <w:rsid w:val="005D2440"/>
    <w:rsid w:val="005D3558"/>
    <w:rsid w:val="005E764A"/>
    <w:rsid w:val="00621557"/>
    <w:rsid w:val="006223E5"/>
    <w:rsid w:val="00624AA8"/>
    <w:rsid w:val="006258A8"/>
    <w:rsid w:val="0063349A"/>
    <w:rsid w:val="00634335"/>
    <w:rsid w:val="00641DB7"/>
    <w:rsid w:val="006460FD"/>
    <w:rsid w:val="0065294D"/>
    <w:rsid w:val="00680EE0"/>
    <w:rsid w:val="0068423C"/>
    <w:rsid w:val="00694DEF"/>
    <w:rsid w:val="006B1FD1"/>
    <w:rsid w:val="006B43B5"/>
    <w:rsid w:val="006C3605"/>
    <w:rsid w:val="006C5C4E"/>
    <w:rsid w:val="006D7976"/>
    <w:rsid w:val="006E3C6A"/>
    <w:rsid w:val="006F3970"/>
    <w:rsid w:val="006F4B07"/>
    <w:rsid w:val="006F70CA"/>
    <w:rsid w:val="00704FA2"/>
    <w:rsid w:val="007102AB"/>
    <w:rsid w:val="00740413"/>
    <w:rsid w:val="00773328"/>
    <w:rsid w:val="00775BD4"/>
    <w:rsid w:val="00777704"/>
    <w:rsid w:val="00781E48"/>
    <w:rsid w:val="00782DE8"/>
    <w:rsid w:val="007831B2"/>
    <w:rsid w:val="00793616"/>
    <w:rsid w:val="00794F08"/>
    <w:rsid w:val="007A66D0"/>
    <w:rsid w:val="007B6B60"/>
    <w:rsid w:val="007C14CB"/>
    <w:rsid w:val="007E283C"/>
    <w:rsid w:val="007F407D"/>
    <w:rsid w:val="00804765"/>
    <w:rsid w:val="0081799E"/>
    <w:rsid w:val="00833865"/>
    <w:rsid w:val="00847859"/>
    <w:rsid w:val="008602F3"/>
    <w:rsid w:val="00860A3B"/>
    <w:rsid w:val="008773DE"/>
    <w:rsid w:val="00882EA0"/>
    <w:rsid w:val="00885726"/>
    <w:rsid w:val="00886D48"/>
    <w:rsid w:val="008875D6"/>
    <w:rsid w:val="008A3DFE"/>
    <w:rsid w:val="008C151E"/>
    <w:rsid w:val="008C357B"/>
    <w:rsid w:val="008D0974"/>
    <w:rsid w:val="008D6A16"/>
    <w:rsid w:val="008D7265"/>
    <w:rsid w:val="008E3AC5"/>
    <w:rsid w:val="008E5462"/>
    <w:rsid w:val="00903FF9"/>
    <w:rsid w:val="00904FB9"/>
    <w:rsid w:val="009055AD"/>
    <w:rsid w:val="0090566A"/>
    <w:rsid w:val="00916579"/>
    <w:rsid w:val="00931711"/>
    <w:rsid w:val="009416E4"/>
    <w:rsid w:val="009534DB"/>
    <w:rsid w:val="00954840"/>
    <w:rsid w:val="0096234B"/>
    <w:rsid w:val="009639B7"/>
    <w:rsid w:val="00966564"/>
    <w:rsid w:val="00990DA7"/>
    <w:rsid w:val="00992CC1"/>
    <w:rsid w:val="009A2134"/>
    <w:rsid w:val="009A5440"/>
    <w:rsid w:val="009A6E44"/>
    <w:rsid w:val="009B158C"/>
    <w:rsid w:val="009B6276"/>
    <w:rsid w:val="009C4029"/>
    <w:rsid w:val="009D7916"/>
    <w:rsid w:val="009F2633"/>
    <w:rsid w:val="00A00440"/>
    <w:rsid w:val="00A01583"/>
    <w:rsid w:val="00A05779"/>
    <w:rsid w:val="00A061A6"/>
    <w:rsid w:val="00A45CDE"/>
    <w:rsid w:val="00A521AE"/>
    <w:rsid w:val="00A545A4"/>
    <w:rsid w:val="00A63F92"/>
    <w:rsid w:val="00A95251"/>
    <w:rsid w:val="00AC348F"/>
    <w:rsid w:val="00AC79A3"/>
    <w:rsid w:val="00AE21EA"/>
    <w:rsid w:val="00AE7E07"/>
    <w:rsid w:val="00B00426"/>
    <w:rsid w:val="00B15DE6"/>
    <w:rsid w:val="00B3066A"/>
    <w:rsid w:val="00B35182"/>
    <w:rsid w:val="00B513A3"/>
    <w:rsid w:val="00B52A75"/>
    <w:rsid w:val="00B531A2"/>
    <w:rsid w:val="00B546BA"/>
    <w:rsid w:val="00B5622D"/>
    <w:rsid w:val="00B63716"/>
    <w:rsid w:val="00B648BA"/>
    <w:rsid w:val="00B872C7"/>
    <w:rsid w:val="00BA3645"/>
    <w:rsid w:val="00BB56A8"/>
    <w:rsid w:val="00BC4516"/>
    <w:rsid w:val="00BC79E9"/>
    <w:rsid w:val="00BD4156"/>
    <w:rsid w:val="00BD5B37"/>
    <w:rsid w:val="00BD5BE6"/>
    <w:rsid w:val="00BF3788"/>
    <w:rsid w:val="00BF42DD"/>
    <w:rsid w:val="00BF526D"/>
    <w:rsid w:val="00C00C66"/>
    <w:rsid w:val="00C17B7F"/>
    <w:rsid w:val="00C24A15"/>
    <w:rsid w:val="00C30EE0"/>
    <w:rsid w:val="00C35271"/>
    <w:rsid w:val="00C37593"/>
    <w:rsid w:val="00C43E01"/>
    <w:rsid w:val="00C47574"/>
    <w:rsid w:val="00C64CDD"/>
    <w:rsid w:val="00C70B71"/>
    <w:rsid w:val="00C75BFC"/>
    <w:rsid w:val="00C815F0"/>
    <w:rsid w:val="00C83AD1"/>
    <w:rsid w:val="00C9352D"/>
    <w:rsid w:val="00C94FDB"/>
    <w:rsid w:val="00CA03BD"/>
    <w:rsid w:val="00CC37E3"/>
    <w:rsid w:val="00CC3D68"/>
    <w:rsid w:val="00CC4661"/>
    <w:rsid w:val="00CC7B48"/>
    <w:rsid w:val="00CE7F81"/>
    <w:rsid w:val="00CF4302"/>
    <w:rsid w:val="00D148DD"/>
    <w:rsid w:val="00D17643"/>
    <w:rsid w:val="00D17782"/>
    <w:rsid w:val="00D32A61"/>
    <w:rsid w:val="00D3712B"/>
    <w:rsid w:val="00D37B46"/>
    <w:rsid w:val="00D40967"/>
    <w:rsid w:val="00D60118"/>
    <w:rsid w:val="00D608EF"/>
    <w:rsid w:val="00D67E9E"/>
    <w:rsid w:val="00D744C3"/>
    <w:rsid w:val="00D95CE3"/>
    <w:rsid w:val="00DA038A"/>
    <w:rsid w:val="00DC0644"/>
    <w:rsid w:val="00DC0B38"/>
    <w:rsid w:val="00DD0C46"/>
    <w:rsid w:val="00DD78BD"/>
    <w:rsid w:val="00DE14CD"/>
    <w:rsid w:val="00DE4A82"/>
    <w:rsid w:val="00E0748A"/>
    <w:rsid w:val="00E1497F"/>
    <w:rsid w:val="00E31FFC"/>
    <w:rsid w:val="00E3254F"/>
    <w:rsid w:val="00E46681"/>
    <w:rsid w:val="00E510C1"/>
    <w:rsid w:val="00E86325"/>
    <w:rsid w:val="00E91327"/>
    <w:rsid w:val="00E95C08"/>
    <w:rsid w:val="00EA12DF"/>
    <w:rsid w:val="00EA6C9E"/>
    <w:rsid w:val="00EB00B2"/>
    <w:rsid w:val="00EC585F"/>
    <w:rsid w:val="00ED3376"/>
    <w:rsid w:val="00F0288F"/>
    <w:rsid w:val="00F0620C"/>
    <w:rsid w:val="00F067A4"/>
    <w:rsid w:val="00F144CF"/>
    <w:rsid w:val="00F14935"/>
    <w:rsid w:val="00F161C7"/>
    <w:rsid w:val="00F208BE"/>
    <w:rsid w:val="00F22181"/>
    <w:rsid w:val="00F23FB9"/>
    <w:rsid w:val="00F278A4"/>
    <w:rsid w:val="00F32C7C"/>
    <w:rsid w:val="00F33C45"/>
    <w:rsid w:val="00F452A5"/>
    <w:rsid w:val="00F45F6D"/>
    <w:rsid w:val="00F75B6A"/>
    <w:rsid w:val="00F861DB"/>
    <w:rsid w:val="00F918E7"/>
    <w:rsid w:val="00F91E7B"/>
    <w:rsid w:val="00F96B32"/>
    <w:rsid w:val="00FB1273"/>
    <w:rsid w:val="00FB1369"/>
    <w:rsid w:val="00FC131E"/>
    <w:rsid w:val="00FD1309"/>
    <w:rsid w:val="00FE2767"/>
    <w:rsid w:val="00FE4642"/>
    <w:rsid w:val="00FE7547"/>
    <w:rsid w:val="00FE75B1"/>
    <w:rsid w:val="00FF2DFE"/>
    <w:rsid w:val="00FF2E18"/>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1B6CA3A"/>
  <w15:docId w15:val="{87A21685-C81C-423F-BC81-BF8AB741B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4F08"/>
    <w:pPr>
      <w:spacing w:line="240" w:lineRule="exact"/>
    </w:pPr>
    <w:rPr>
      <w:rFonts w:asciiTheme="minorHAnsi" w:hAnsiTheme="minorHAnsi"/>
      <w:sz w:val="18"/>
    </w:rPr>
  </w:style>
  <w:style w:type="paragraph" w:styleId="berschrift1">
    <w:name w:val="heading 1"/>
    <w:basedOn w:val="Standard"/>
    <w:next w:val="Standard"/>
    <w:pPr>
      <w:keepNext/>
      <w:jc w:val="both"/>
      <w:outlineLvl w:val="0"/>
    </w:pPr>
    <w:rPr>
      <w:sz w:val="24"/>
      <w:u w:val="single"/>
    </w:rPr>
  </w:style>
  <w:style w:type="paragraph" w:styleId="berschrift2">
    <w:name w:val="heading 2"/>
    <w:basedOn w:val="Standard"/>
    <w:next w:val="Standard"/>
    <w:pPr>
      <w:keepNext/>
      <w:jc w:val="center"/>
      <w:outlineLvl w:val="1"/>
    </w:pPr>
    <w:rPr>
      <w:b/>
      <w:sz w:val="24"/>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sz w:val="24"/>
      <w:u w:val="single"/>
    </w:rPr>
  </w:style>
  <w:style w:type="paragraph" w:styleId="berschrift8">
    <w:name w:val="heading 8"/>
    <w:basedOn w:val="Standard"/>
    <w:next w:val="Standard"/>
    <w:pPr>
      <w:keepNext/>
      <w:ind w:left="567"/>
      <w:jc w:val="both"/>
      <w:outlineLvl w:val="7"/>
    </w:pPr>
    <w:rPr>
      <w:b/>
      <w:sz w:val="24"/>
    </w:rPr>
  </w:style>
  <w:style w:type="paragraph" w:styleId="berschrift9">
    <w:name w:val="heading 9"/>
    <w:basedOn w:val="Standard"/>
    <w:next w:val="Standard"/>
    <w:pPr>
      <w:keepNext/>
      <w:outlineLvl w:val="8"/>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rPr>
      <w:sz w:val="24"/>
    </w:rPr>
  </w:style>
  <w:style w:type="paragraph" w:styleId="Textkrper-Zeileneinzug">
    <w:name w:val="Body Text Indent"/>
    <w:basedOn w:val="Standard"/>
    <w:pPr>
      <w:ind w:left="1418"/>
      <w:jc w:val="both"/>
    </w:pPr>
    <w:rPr>
      <w:sz w:val="24"/>
    </w:r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pPr>
      <w:spacing w:line="240" w:lineRule="auto"/>
    </w:pPr>
    <w:rPr>
      <w:b/>
      <w:color w:val="FE0009" w:themeColor="accent5"/>
      <w:sz w:val="36"/>
    </w:rPr>
  </w:style>
  <w:style w:type="character" w:customStyle="1" w:styleId="UnresolvedMention">
    <w:name w:val="Unresolved Mention"/>
    <w:basedOn w:val="Absatz-Standardschriftart"/>
    <w:uiPriority w:val="99"/>
    <w:semiHidden/>
    <w:unhideWhenUsed/>
    <w:rsid w:val="004E6F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V:\Content%20+%20Medien\Regelkreis%20PL_SM_KOM\Roll-Out%20CD\05%20Briefvorlage\Briefpapier_FTT.dotx" TargetMode="External"/></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5648B-3658-484F-AFBE-4664B0BDA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Briefpapier_FTT</Template>
  <TotalTime>0</TotalTime>
  <Pages>2</Pages>
  <Words>603</Words>
  <Characters>4602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Felgner</dc:creator>
  <cp:keywords/>
  <dc:description/>
  <cp:lastModifiedBy>Sabine Barbie</cp:lastModifiedBy>
  <cp:revision>72</cp:revision>
  <cp:lastPrinted>2021-07-20T12:18:00Z</cp:lastPrinted>
  <dcterms:created xsi:type="dcterms:W3CDTF">2021-03-22T11:48:00Z</dcterms:created>
  <dcterms:modified xsi:type="dcterms:W3CDTF">2021-09-13T12:36:00Z</dcterms:modified>
  <cp:category/>
</cp:coreProperties>
</file>